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left="141" w:leftChars="64" w:right="-77" w:firstLine="849" w:firstLineChars="177"/>
        <w:jc w:val="center"/>
        <w:rPr>
          <w:rFonts w:ascii="微软雅黑" w:hAnsi="微软雅黑" w:eastAsia="宋体" w:cs="微软雅黑"/>
          <w:sz w:val="48"/>
          <w:szCs w:val="48"/>
          <w:lang w:eastAsia="zh-CN"/>
        </w:rPr>
      </w:pPr>
    </w:p>
    <w:p>
      <w:pPr>
        <w:spacing w:after="0"/>
        <w:ind w:right="-77"/>
        <w:jc w:val="center"/>
        <w:rPr>
          <w:rFonts w:hint="eastAsia" w:ascii="方正小标宋简体" w:eastAsia="方正小标宋简体"/>
          <w:sz w:val="48"/>
          <w:szCs w:val="48"/>
          <w:lang w:eastAsia="zh-CN"/>
        </w:rPr>
      </w:pPr>
      <w:r>
        <w:rPr>
          <w:rFonts w:hint="eastAsia" w:ascii="方正小标宋简体" w:hAnsi="微软雅黑" w:eastAsia="方正小标宋简体" w:cs="微软雅黑"/>
          <w:sz w:val="48"/>
          <w:szCs w:val="48"/>
          <w:lang w:eastAsia="zh-CN"/>
        </w:rPr>
        <w:t>2024年</w:t>
      </w:r>
    </w:p>
    <w:p>
      <w:pPr>
        <w:spacing w:after="0"/>
        <w:ind w:right="-77"/>
        <w:jc w:val="center"/>
        <w:rPr>
          <w:rFonts w:hint="eastAsia" w:ascii="方正小标宋简体" w:hAnsi="微软雅黑" w:eastAsia="方正小标宋简体" w:cs="微软雅黑"/>
          <w:sz w:val="48"/>
          <w:szCs w:val="48"/>
          <w:lang w:eastAsia="zh-CN"/>
        </w:rPr>
      </w:pPr>
      <w:r>
        <w:rPr>
          <w:rFonts w:hint="eastAsia" w:ascii="方正小标宋简体" w:hAnsi="微软雅黑" w:eastAsia="方正小标宋简体" w:cs="微软雅黑"/>
          <w:sz w:val="48"/>
          <w:szCs w:val="48"/>
          <w:lang w:eastAsia="zh-CN"/>
        </w:rPr>
        <w:t>中共普宁市纪律检查委员会办公室部门预算</w:t>
      </w:r>
    </w:p>
    <w:p>
      <w:pPr>
        <w:spacing w:after="0"/>
        <w:ind w:left="141" w:leftChars="64" w:right="-77" w:firstLine="389" w:firstLineChars="177"/>
        <w:jc w:val="center"/>
        <w:rPr>
          <w:lang w:eastAsia="zh-CN"/>
        </w:rPr>
      </w:pPr>
      <w:r>
        <w:rPr>
          <w:lang w:eastAsia="zh-CN"/>
        </w:rPr>
        <w:br w:type="page"/>
      </w:r>
    </w:p>
    <w:p>
      <w:pPr>
        <w:pStyle w:val="2"/>
        <w:spacing w:after="0" w:line="600" w:lineRule="exact"/>
        <w:ind w:left="141" w:leftChars="64" w:right="-79" w:firstLine="1"/>
        <w:rPr>
          <w:lang w:eastAsia="zh-CN"/>
        </w:rPr>
      </w:pPr>
    </w:p>
    <w:p>
      <w:pPr>
        <w:pStyle w:val="2"/>
        <w:spacing w:after="0" w:line="600" w:lineRule="exact"/>
        <w:ind w:left="141" w:leftChars="64" w:right="-79" w:firstLine="1"/>
        <w:rPr>
          <w:rFonts w:hint="eastAsia" w:ascii="方正小标宋简体" w:eastAsia="方正小标宋简体"/>
          <w:lang w:eastAsia="zh-CN"/>
        </w:rPr>
      </w:pPr>
      <w:r>
        <w:rPr>
          <w:rFonts w:hint="eastAsia" w:ascii="方正小标宋简体" w:eastAsia="方正小标宋简体"/>
          <w:lang w:eastAsia="zh-CN"/>
        </w:rPr>
        <w:t>目 录</w:t>
      </w:r>
    </w:p>
    <w:p>
      <w:pPr>
        <w:spacing w:after="0" w:line="660" w:lineRule="exact"/>
        <w:rPr>
          <w:rFonts w:hint="eastAsia" w:ascii="方正仿宋简体" w:eastAsia="方正仿宋简体"/>
          <w:lang w:eastAsia="zh-CN"/>
        </w:rPr>
      </w:pPr>
    </w:p>
    <w:p>
      <w:pPr>
        <w:pStyle w:val="3"/>
        <w:spacing w:after="0" w:line="660" w:lineRule="exact"/>
        <w:ind w:left="141" w:leftChars="64" w:right="-79" w:firstLine="566" w:firstLineChars="177"/>
        <w:rPr>
          <w:rFonts w:hint="eastAsia" w:ascii="NEU-BZ-S92" w:hAnsi="NEU-BZ-S92" w:eastAsia="方正黑体_GBK"/>
          <w:lang w:eastAsia="zh-CN"/>
        </w:rPr>
      </w:pPr>
      <w:r>
        <w:rPr>
          <w:rFonts w:hint="eastAsia" w:ascii="NEU-BZ-S92" w:hAnsi="NEU-BZ-S92" w:eastAsia="方正黑体_GBK"/>
          <w:lang w:eastAsia="zh-CN"/>
        </w:rPr>
        <w:t>第一部分 中共普宁市纪律检查委员会办公室概况</w:t>
      </w:r>
    </w:p>
    <w:p>
      <w:pPr>
        <w:pStyle w:val="3"/>
        <w:spacing w:after="0" w:line="660" w:lineRule="exact"/>
        <w:ind w:left="141" w:leftChars="64" w:right="-79" w:firstLine="566" w:firstLineChars="177"/>
        <w:rPr>
          <w:rFonts w:hint="eastAsia" w:ascii="NEU-BZ-S92" w:hAnsi="NEU-BZ-S92" w:eastAsia="方正仿宋简体"/>
          <w:lang w:eastAsia="zh-CN"/>
        </w:rPr>
      </w:pPr>
      <w:r>
        <w:rPr>
          <w:rFonts w:hint="eastAsia" w:ascii="NEU-BZ-S92" w:hAnsi="NEU-BZ-S92" w:eastAsia="方正仿宋简体"/>
          <w:lang w:eastAsia="zh-CN"/>
        </w:rPr>
        <w:t>一、主要职责</w:t>
      </w:r>
    </w:p>
    <w:p>
      <w:pPr>
        <w:pStyle w:val="3"/>
        <w:spacing w:after="0" w:line="660" w:lineRule="exact"/>
        <w:ind w:left="141" w:leftChars="64" w:right="-79" w:firstLine="566" w:firstLineChars="177"/>
        <w:rPr>
          <w:rFonts w:hint="eastAsia" w:ascii="NEU-BZ-S92" w:hAnsi="NEU-BZ-S92" w:eastAsia="方正仿宋简体"/>
          <w:lang w:eastAsia="zh-CN"/>
        </w:rPr>
      </w:pPr>
      <w:r>
        <w:rPr>
          <w:rFonts w:hint="eastAsia" w:ascii="NEU-BZ-S92" w:hAnsi="NEU-BZ-S92" w:eastAsia="方正仿宋简体"/>
          <w:lang w:eastAsia="zh-CN"/>
        </w:rPr>
        <w:t>二、部门机构设置</w:t>
      </w:r>
    </w:p>
    <w:p>
      <w:pPr>
        <w:pStyle w:val="3"/>
        <w:spacing w:after="0" w:line="660" w:lineRule="exact"/>
        <w:ind w:left="141" w:leftChars="64" w:right="-79" w:firstLine="566" w:firstLineChars="177"/>
        <w:rPr>
          <w:rFonts w:hint="eastAsia" w:ascii="NEU-BZ-S92" w:hAnsi="NEU-BZ-S92" w:eastAsia="方正仿宋简体"/>
          <w:lang w:eastAsia="zh-CN"/>
        </w:rPr>
      </w:pPr>
      <w:r>
        <w:rPr>
          <w:rFonts w:hint="eastAsia" w:ascii="NEU-BZ-S92" w:hAnsi="NEU-BZ-S92" w:eastAsia="方正仿宋简体"/>
          <w:lang w:eastAsia="zh-CN"/>
        </w:rPr>
        <w:t>三、部门预算构成</w:t>
      </w:r>
    </w:p>
    <w:p>
      <w:pPr>
        <w:spacing w:after="0" w:line="660" w:lineRule="exact"/>
        <w:ind w:left="141" w:leftChars="64" w:right="-79" w:firstLine="566" w:firstLineChars="177"/>
        <w:rPr>
          <w:rFonts w:hint="eastAsia" w:ascii="NEU-BZ-S92" w:hAnsi="NEU-BZ-S92" w:eastAsia="方正黑体_GBK" w:cs="微软雅黑"/>
          <w:sz w:val="32"/>
          <w:lang w:eastAsia="zh-CN"/>
        </w:rPr>
      </w:pPr>
      <w:r>
        <w:rPr>
          <w:rFonts w:hint="eastAsia" w:ascii="NEU-BZ-S92" w:hAnsi="NEU-BZ-S92" w:eastAsia="方正黑体_GBK" w:cs="微软雅黑"/>
          <w:sz w:val="32"/>
          <w:lang w:eastAsia="zh-CN"/>
        </w:rPr>
        <w:t>第二部分 2024年部门预算表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一、收支总体情况表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二、收入总体情况表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三、支出总体情况表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四、财政拨款收支总体情况表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五、一般公共预算支出情况表（按功能分类科目）</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六、一般公共预算基本支出情况表（按经济分类科目）</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七、一般公共预算项目支出情况表（按经济分类科目）</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八、财政拨款安排的行政经费及“三公”经费预算表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九、政府性基金预算支出情况表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十、国有资本经营预算支出情况表</w:t>
      </w:r>
    </w:p>
    <w:p>
      <w:pPr>
        <w:spacing w:after="0" w:line="660" w:lineRule="exact"/>
        <w:ind w:left="141" w:leftChars="64" w:right="-79" w:firstLine="566" w:firstLineChars="177"/>
        <w:rPr>
          <w:rFonts w:hint="eastAsia" w:ascii="NEU-BZ-S92" w:hAnsi="NEU-BZ-S92" w:eastAsia="方正仿宋简体"/>
          <w:lang w:eastAsia="zh-CN"/>
        </w:rPr>
      </w:pPr>
      <w:r>
        <w:rPr>
          <w:rFonts w:hint="eastAsia" w:ascii="NEU-BZ-S92" w:hAnsi="NEU-BZ-S92" w:eastAsia="方正仿宋简体" w:cs="微软雅黑"/>
          <w:sz w:val="32"/>
          <w:lang w:eastAsia="zh-CN"/>
        </w:rPr>
        <w:t>十一、部门预算基本支出预算表</w:t>
      </w:r>
    </w:p>
    <w:p>
      <w:pPr>
        <w:spacing w:after="0" w:line="660" w:lineRule="exact"/>
        <w:ind w:left="141" w:leftChars="64" w:right="-79" w:firstLine="566" w:firstLineChars="177"/>
        <w:rPr>
          <w:rFonts w:hint="eastAsia" w:ascii="NEU-BZ-S92" w:hAnsi="NEU-BZ-S92" w:eastAsia="方正仿宋简体" w:cs="微软雅黑"/>
          <w:sz w:val="32"/>
          <w:lang w:eastAsia="zh-CN"/>
        </w:rPr>
      </w:pPr>
      <w:r>
        <w:rPr>
          <w:rFonts w:hint="eastAsia" w:ascii="NEU-BZ-S92" w:hAnsi="NEU-BZ-S92" w:eastAsia="方正仿宋简体" w:cs="微软雅黑"/>
          <w:sz w:val="32"/>
          <w:lang w:eastAsia="zh-CN"/>
        </w:rPr>
        <w:t>十二、部门预算项目支出及其他支出预算表</w:t>
      </w:r>
    </w:p>
    <w:p>
      <w:pPr>
        <w:spacing w:after="0" w:line="660" w:lineRule="exact"/>
        <w:ind w:left="141" w:leftChars="64" w:right="-79" w:firstLine="566" w:firstLineChars="177"/>
        <w:rPr>
          <w:rFonts w:hint="eastAsia" w:ascii="NEU-BZ-S92" w:hAnsi="NEU-BZ-S92" w:eastAsia="方正黑体_GBK" w:cs="微软雅黑"/>
          <w:sz w:val="32"/>
          <w:lang w:eastAsia="zh-CN"/>
        </w:rPr>
      </w:pPr>
      <w:r>
        <w:rPr>
          <w:rFonts w:hint="eastAsia" w:ascii="NEU-BZ-S92" w:hAnsi="NEU-BZ-S92" w:eastAsia="方正黑体_GBK" w:cs="微软雅黑"/>
          <w:sz w:val="32"/>
          <w:lang w:eastAsia="zh-CN"/>
        </w:rPr>
        <w:t>第三部分 2024年部门预算情况说明</w:t>
      </w:r>
    </w:p>
    <w:p>
      <w:pPr>
        <w:spacing w:after="0" w:line="660" w:lineRule="exact"/>
        <w:ind w:left="141" w:leftChars="64" w:right="-79" w:firstLine="566" w:firstLineChars="177"/>
        <w:rPr>
          <w:rFonts w:hint="eastAsia" w:ascii="NEU-BZ-S92" w:hAnsi="NEU-BZ-S92" w:eastAsia="方正黑体_GBK" w:cs="微软雅黑"/>
          <w:sz w:val="32"/>
          <w:lang w:eastAsia="zh-CN"/>
        </w:rPr>
      </w:pPr>
      <w:r>
        <w:rPr>
          <w:rFonts w:hint="eastAsia" w:ascii="NEU-BZ-S92" w:hAnsi="NEU-BZ-S92" w:eastAsia="方正黑体_GBK" w:cs="微软雅黑"/>
          <w:sz w:val="32"/>
          <w:lang w:eastAsia="zh-CN"/>
        </w:rPr>
        <w:t>第四部分 名词解释</w:t>
      </w:r>
    </w:p>
    <w:p>
      <w:pPr>
        <w:spacing w:after="3" w:line="437" w:lineRule="auto"/>
        <w:ind w:left="141" w:leftChars="64" w:right="-77" w:firstLine="566" w:firstLineChars="177"/>
        <w:rPr>
          <w:rFonts w:ascii="NEU-BZ-S92" w:hAnsi="NEU-BZ-S92" w:eastAsia="微软雅黑" w:cs="微软雅黑"/>
          <w:sz w:val="32"/>
          <w:lang w:eastAsia="zh-CN"/>
        </w:rPr>
      </w:pPr>
    </w:p>
    <w:p>
      <w:pPr>
        <w:pStyle w:val="2"/>
        <w:spacing w:after="0" w:line="600" w:lineRule="exact"/>
        <w:ind w:left="141" w:leftChars="64" w:right="-79" w:firstLine="1"/>
        <w:rPr>
          <w:rFonts w:hint="eastAsia" w:ascii="NEU-BZ-S92" w:hAnsi="NEU-BZ-S92" w:eastAsia="方正小标宋简体"/>
          <w:lang w:eastAsia="zh-CN"/>
        </w:rPr>
      </w:pPr>
      <w:r>
        <w:rPr>
          <w:rFonts w:hint="eastAsia" w:ascii="NEU-BZ-S92" w:hAnsi="NEU-BZ-S92" w:eastAsia="方正小标宋简体"/>
          <w:lang w:eastAsia="zh-CN"/>
        </w:rPr>
        <w:t>第一部分 中共普宁市纪律检查委员会办公室概况</w:t>
      </w:r>
    </w:p>
    <w:p>
      <w:pPr>
        <w:pStyle w:val="3"/>
        <w:spacing w:after="0" w:line="640" w:lineRule="exact"/>
        <w:ind w:left="141" w:leftChars="64" w:right="-79" w:firstLine="566" w:firstLineChars="177"/>
        <w:rPr>
          <w:rFonts w:ascii="NEU-BZ-S92" w:hAnsi="NEU-BZ-S92"/>
          <w:lang w:eastAsia="zh-CN"/>
        </w:rPr>
      </w:pPr>
    </w:p>
    <w:p>
      <w:pPr>
        <w:pStyle w:val="3"/>
        <w:spacing w:after="0" w:line="640" w:lineRule="exact"/>
        <w:ind w:left="141" w:leftChars="64" w:right="-79" w:firstLine="566" w:firstLineChars="177"/>
        <w:rPr>
          <w:rFonts w:hint="eastAsia" w:ascii="NEU-BZ-S92" w:hAnsi="NEU-BZ-S92" w:eastAsia="方正黑体_GBK"/>
          <w:szCs w:val="32"/>
          <w:lang w:eastAsia="zh-CN"/>
        </w:rPr>
      </w:pPr>
      <w:r>
        <w:rPr>
          <w:rFonts w:hint="eastAsia" w:ascii="NEU-BZ-S92" w:hAnsi="NEU-BZ-S92" w:eastAsia="方正黑体_GBK"/>
          <w:szCs w:val="32"/>
          <w:lang w:eastAsia="zh-CN"/>
        </w:rPr>
        <w:t>一、主要职责</w:t>
      </w:r>
    </w:p>
    <w:p>
      <w:pPr>
        <w:spacing w:after="0" w:line="640" w:lineRule="exact"/>
        <w:ind w:left="141" w:leftChars="64" w:right="-79" w:firstLine="566" w:firstLineChars="177"/>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市纪委和市监委合署办公，实行一套工作机构、两个机关名称，履行党的纪律检查和国家监察两项职责。市纪委监委负责党的纪律检查工作；依照党的章程、其他党内法规和国家法律法规履行监督、执纪、问责和监督、调查、处置职责等。</w:t>
      </w:r>
    </w:p>
    <w:p>
      <w:pPr>
        <w:pStyle w:val="3"/>
        <w:spacing w:after="0" w:line="640" w:lineRule="exact"/>
        <w:ind w:left="141" w:leftChars="64" w:right="-79" w:firstLine="566" w:firstLineChars="177"/>
        <w:rPr>
          <w:rFonts w:hint="eastAsia" w:ascii="NEU-BZ-S92" w:hAnsi="NEU-BZ-S92" w:eastAsia="方正黑体_GBK"/>
          <w:szCs w:val="32"/>
          <w:lang w:eastAsia="zh-CN"/>
        </w:rPr>
      </w:pPr>
      <w:r>
        <w:rPr>
          <w:rFonts w:hint="eastAsia" w:ascii="NEU-BZ-S92" w:hAnsi="NEU-BZ-S92" w:eastAsia="方正黑体_GBK"/>
          <w:szCs w:val="32"/>
          <w:lang w:eastAsia="zh-CN"/>
        </w:rPr>
        <w:t>二、部门机构设置</w:t>
      </w:r>
    </w:p>
    <w:p>
      <w:pPr>
        <w:spacing w:after="0" w:line="640" w:lineRule="exact"/>
        <w:ind w:left="141" w:leftChars="64" w:right="-79" w:firstLine="566" w:firstLineChars="177"/>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我委独立编制机构数20个。机关内设14个职能室和8个派驻纪检监察组，市委巡察机构设“一办九组”。14个职能室分别为：办公室、纪检监察干部监督室、宣传教育与政策法规研究室、党风政风监督室、信访室、案件监督管理室、案件审理室、第一至七纪检监察室；8个派驻纪检监察组分别是市直机关纪检监察工委、市纪委监委驻市财政局纪检监察组、市纪委监委驻市工业和信息化局纪检监察组、市纪委监委驻市公安局纪检监察组、市纪委监委驻市人力资源和社会保障局纪检监察组、市纪委监委驻市自然资源局纪检监察组、市纪委监委驻市教育局纪检监察组、市纪委监委驻市卫生健康局纪检监察组；市委巡察机构“一办九组”即市委巡察办和市委第一至第九巡察组。</w:t>
      </w:r>
    </w:p>
    <w:p>
      <w:pPr>
        <w:pStyle w:val="3"/>
        <w:spacing w:after="0" w:line="640" w:lineRule="exact"/>
        <w:ind w:left="141" w:leftChars="64" w:right="-79" w:firstLine="566" w:firstLineChars="177"/>
        <w:rPr>
          <w:rFonts w:hint="eastAsia" w:ascii="NEU-BZ-S92" w:hAnsi="NEU-BZ-S92" w:eastAsia="方正黑体_GBK"/>
          <w:szCs w:val="32"/>
          <w:lang w:eastAsia="zh-CN"/>
        </w:rPr>
      </w:pPr>
      <w:r>
        <w:rPr>
          <w:rFonts w:hint="eastAsia" w:ascii="NEU-BZ-S92" w:hAnsi="NEU-BZ-S92" w:eastAsia="方正黑体_GBK"/>
          <w:szCs w:val="32"/>
          <w:lang w:eastAsia="zh-CN"/>
        </w:rPr>
        <w:t>三、部门预算构成</w:t>
      </w:r>
    </w:p>
    <w:p>
      <w:pPr>
        <w:spacing w:after="0" w:line="640" w:lineRule="exact"/>
        <w:ind w:left="141" w:leftChars="64" w:right="-79" w:firstLine="566" w:firstLineChars="177"/>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本部门预算为汇总预算，包括：委本级预算，以及纳入编制范围的下属单位预算。下属单位为普宁市廉政教育中心。（非独立编报核算单位）</w:t>
      </w:r>
    </w:p>
    <w:p>
      <w:pPr>
        <w:ind w:left="141" w:leftChars="64" w:right="-77" w:firstLine="389" w:firstLineChars="177"/>
        <w:sectPr>
          <w:pgSz w:w="11906" w:h="16838"/>
          <w:pgMar w:top="867" w:right="952" w:bottom="190" w:left="1078" w:header="720" w:footer="720" w:gutter="0"/>
          <w:cols w:space="720" w:num="1"/>
        </w:sectPr>
      </w:pPr>
    </w:p>
    <w:p>
      <w:pPr>
        <w:spacing w:after="193"/>
        <w:ind w:left="141" w:leftChars="64" w:right="-77" w:firstLine="778" w:firstLineChars="177"/>
        <w:jc w:val="center"/>
        <w:rPr>
          <w:lang w:eastAsia="zh-CN"/>
        </w:rPr>
      </w:pPr>
      <w:r>
        <w:rPr>
          <w:rFonts w:ascii="微软雅黑" w:hAnsi="微软雅黑" w:eastAsia="微软雅黑" w:cs="微软雅黑"/>
          <w:sz w:val="44"/>
          <w:lang w:eastAsia="zh-CN"/>
        </w:rPr>
        <w:t>第二部分 2024年部门预算表</w:t>
      </w:r>
    </w:p>
    <w:p>
      <w:pPr>
        <w:spacing w:after="236"/>
        <w:ind w:left="141" w:leftChars="64" w:right="-77" w:firstLine="424" w:firstLineChars="177"/>
        <w:jc w:val="right"/>
        <w:rPr>
          <w:lang w:eastAsia="zh-CN"/>
        </w:rPr>
      </w:pPr>
      <w:r>
        <w:rPr>
          <w:rFonts w:ascii="宋体" w:hAnsi="宋体" w:eastAsia="宋体" w:cs="宋体"/>
          <w:sz w:val="24"/>
          <w:lang w:eastAsia="zh-CN"/>
        </w:rPr>
        <w:t>表1</w:t>
      </w:r>
    </w:p>
    <w:p>
      <w:pPr>
        <w:pStyle w:val="4"/>
        <w:spacing w:after="195"/>
        <w:ind w:left="141" w:leftChars="64" w:right="-77" w:firstLine="460" w:firstLineChars="177"/>
        <w:rPr>
          <w:rFonts w:ascii="黑体" w:hAnsi="黑体" w:eastAsia="黑体"/>
          <w:lang w:eastAsia="zh-CN"/>
        </w:rPr>
      </w:pPr>
      <w:r>
        <w:rPr>
          <w:rFonts w:ascii="黑体" w:hAnsi="黑体" w:eastAsia="黑体"/>
          <w:lang w:eastAsia="zh-CN"/>
        </w:rPr>
        <w:t>收支总体情况表</w:t>
      </w:r>
    </w:p>
    <w:p>
      <w:pPr>
        <w:tabs>
          <w:tab w:val="right" w:pos="15120"/>
        </w:tabs>
        <w:spacing w:after="0"/>
        <w:ind w:right="-77"/>
        <w:rPr>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0" w:type="dxa"/>
          <w:bottom w:w="0" w:type="dxa"/>
          <w:right w:w="0" w:type="dxa"/>
        </w:tblCellMar>
      </w:tblPr>
      <w:tblGrid>
        <w:gridCol w:w="3758"/>
        <w:gridCol w:w="1679"/>
        <w:gridCol w:w="1173"/>
        <w:gridCol w:w="101"/>
        <w:gridCol w:w="809"/>
        <w:gridCol w:w="3559"/>
        <w:gridCol w:w="264"/>
        <w:gridCol w:w="2571"/>
        <w:gridCol w:w="1191"/>
      </w:tblGrid>
      <w:tr>
        <w:tblPrEx>
          <w:tblLayout w:type="fixed"/>
          <w:tblCellMar>
            <w:top w:w="63" w:type="dxa"/>
            <w:left w:w="0" w:type="dxa"/>
            <w:bottom w:w="0" w:type="dxa"/>
            <w:right w:w="0" w:type="dxa"/>
          </w:tblCellMar>
        </w:tblPrEx>
        <w:trPr>
          <w:trHeight w:val="306" w:hRule="exact"/>
        </w:trPr>
        <w:tc>
          <w:tcPr>
            <w:tcW w:w="5437" w:type="dxa"/>
            <w:gridSpan w:val="2"/>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收入</w:t>
            </w:r>
          </w:p>
        </w:tc>
        <w:tc>
          <w:tcPr>
            <w:tcW w:w="1173"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264" w:type="dxa"/>
            <w:tcBorders>
              <w:top w:val="single" w:color="000000" w:sz="6" w:space="0"/>
              <w:left w:val="nil"/>
              <w:bottom w:val="single" w:color="000000" w:sz="6" w:space="0"/>
              <w:right w:val="nil"/>
            </w:tcBorders>
          </w:tcPr>
          <w:p>
            <w:pPr>
              <w:spacing w:after="0" w:line="240" w:lineRule="auto"/>
              <w:ind w:left="141" w:leftChars="64" w:right="-77" w:firstLine="354" w:firstLineChars="177"/>
              <w:jc w:val="both"/>
            </w:pPr>
            <w:r>
              <w:rPr>
                <w:rFonts w:ascii="宋体" w:hAnsi="宋体" w:eastAsia="宋体" w:cs="宋体"/>
                <w:sz w:val="20"/>
              </w:rPr>
              <w:t>支</w:t>
            </w:r>
          </w:p>
        </w:tc>
        <w:tc>
          <w:tcPr>
            <w:tcW w:w="2571" w:type="dxa"/>
            <w:tcBorders>
              <w:top w:val="single" w:color="000000" w:sz="6" w:space="0"/>
              <w:left w:val="nil"/>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支出</w:t>
            </w:r>
          </w:p>
        </w:tc>
        <w:tc>
          <w:tcPr>
            <w:tcW w:w="1191" w:type="dxa"/>
            <w:tcBorders>
              <w:top w:val="single" w:color="000000" w:sz="6" w:space="0"/>
              <w:left w:val="nil"/>
              <w:bottom w:val="single" w:color="000000" w:sz="6" w:space="0"/>
              <w:right w:val="single" w:color="000000" w:sz="6" w:space="0"/>
            </w:tcBorders>
            <w:vAlign w:val="bottom"/>
          </w:tcPr>
          <w:p>
            <w:pPr>
              <w:spacing w:after="0" w:line="240" w:lineRule="auto"/>
              <w:ind w:left="141" w:leftChars="64" w:right="-77" w:firstLine="389" w:firstLineChars="177"/>
            </w:pP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预算</w:t>
            </w: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项目</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预算</w:t>
            </w: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r>
              <w:rPr>
                <w:rFonts w:ascii="宋体" w:hAnsi="宋体" w:eastAsia="宋体" w:cs="宋体"/>
                <w:sz w:val="18"/>
              </w:rPr>
              <w:t>一、预算拨款</w:t>
            </w:r>
          </w:p>
        </w:tc>
        <w:tc>
          <w:tcPr>
            <w:tcW w:w="1679" w:type="dxa"/>
            <w:tcBorders>
              <w:top w:val="single" w:color="000000" w:sz="6" w:space="0"/>
              <w:left w:val="single" w:color="000000" w:sz="6" w:space="0"/>
              <w:bottom w:val="single" w:color="000000" w:sz="6" w:space="0"/>
              <w:right w:val="nil"/>
            </w:tcBorders>
          </w:tcPr>
          <w:p>
            <w:pPr>
              <w:spacing w:after="0" w:line="240" w:lineRule="auto"/>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一、一般公共服务支出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2,718.95</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r>
              <w:rPr>
                <w:rFonts w:ascii="宋体" w:hAnsi="宋体" w:eastAsia="宋体" w:cs="宋体"/>
                <w:sz w:val="18"/>
              </w:rPr>
              <w:t>二、财政专户拨款</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二、外交支出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r>
              <w:rPr>
                <w:rFonts w:ascii="宋体" w:hAnsi="宋体" w:eastAsia="宋体" w:cs="宋体"/>
                <w:sz w:val="18"/>
              </w:rPr>
              <w:t>三、其他资金</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三、国防支出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center"/>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四、公共安全支出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五、教育支出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六、科学技术支出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vAlign w:val="center"/>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七、文化旅游体育与传媒支出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八、社会保障和就业支出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377.88</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九、卫生健康支出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49.35</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十、节能环保支出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十一、城乡社区支出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十二、农林水支出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十三、交通运输支出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十四、资源勘探工业信息等支出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十五、商业服务业等支出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jc w:val="right"/>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jc w:val="right"/>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十六、金融支出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jc w:val="right"/>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18" w:firstLineChars="177"/>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十七、援助其他地区支出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18" w:firstLineChars="177"/>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lang w:eastAsia="zh-CN"/>
              </w:rPr>
            </w:pPr>
            <w:r>
              <w:rPr>
                <w:rFonts w:ascii="宋体" w:hAnsi="宋体" w:eastAsia="宋体" w:cs="宋体"/>
                <w:sz w:val="18"/>
                <w:lang w:eastAsia="zh-CN"/>
              </w:rPr>
              <w:t>十八、自然资源海洋气象等支出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18" w:firstLineChars="177"/>
              <w:rPr>
                <w:sz w:val="18"/>
              </w:rPr>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both"/>
              <w:rPr>
                <w:sz w:val="18"/>
              </w:rPr>
            </w:pPr>
            <w:r>
              <w:rPr>
                <w:rFonts w:ascii="宋体" w:hAnsi="宋体" w:eastAsia="宋体" w:cs="宋体"/>
                <w:sz w:val="18"/>
              </w:rPr>
              <w:t>十九、住房保障支出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191" w:type="dxa"/>
            <w:tcBorders>
              <w:top w:val="single" w:color="000000" w:sz="6" w:space="0"/>
              <w:left w:val="nil"/>
              <w:bottom w:val="single" w:color="000000" w:sz="6" w:space="0"/>
              <w:right w:val="single" w:color="000000" w:sz="6" w:space="0"/>
            </w:tcBorders>
          </w:tcPr>
          <w:p>
            <w:pPr>
              <w:spacing w:after="0" w:line="240" w:lineRule="auto"/>
              <w:jc w:val="right"/>
            </w:pPr>
            <w:r>
              <w:rPr>
                <w:rFonts w:ascii="宋体" w:hAnsi="宋体" w:eastAsia="宋体" w:cs="宋体"/>
                <w:sz w:val="20"/>
              </w:rPr>
              <w:t>146.87</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173" w:type="dxa"/>
            <w:tcBorders>
              <w:top w:val="single" w:color="000000" w:sz="6" w:space="0"/>
              <w:left w:val="nil"/>
              <w:bottom w:val="single" w:color="000000" w:sz="6" w:space="0"/>
              <w:right w:val="nil"/>
            </w:tcBorders>
            <w:vAlign w:val="center"/>
          </w:tcPr>
          <w:p>
            <w:pPr>
              <w:spacing w:after="0" w:line="240" w:lineRule="auto"/>
              <w:ind w:left="141" w:leftChars="64" w:right="-77" w:firstLine="389" w:firstLineChars="177"/>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both"/>
              <w:rPr>
                <w:lang w:eastAsia="zh-CN"/>
              </w:rPr>
            </w:pPr>
            <w:r>
              <w:rPr>
                <w:rFonts w:ascii="宋体" w:hAnsi="宋体" w:eastAsia="宋体" w:cs="宋体"/>
                <w:sz w:val="20"/>
                <w:lang w:eastAsia="zh-CN"/>
              </w:rPr>
              <w:t>二十、粮油物资储备支出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both"/>
              <w:rPr>
                <w:lang w:eastAsia="zh-CN"/>
              </w:rPr>
            </w:pPr>
            <w:r>
              <w:rPr>
                <w:rFonts w:ascii="宋体" w:hAnsi="宋体" w:eastAsia="宋体" w:cs="宋体"/>
                <w:sz w:val="20"/>
                <w:lang w:eastAsia="zh-CN"/>
              </w:rPr>
              <w:t>二十一、国有资本经营预算支出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06" w:hRule="exac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173"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910"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both"/>
              <w:rPr>
                <w:lang w:eastAsia="zh-CN"/>
              </w:rPr>
            </w:pPr>
            <w:r>
              <w:rPr>
                <w:rFonts w:ascii="宋体" w:hAnsi="宋体" w:eastAsia="宋体" w:cs="宋体"/>
                <w:sz w:val="20"/>
                <w:lang w:eastAsia="zh-CN"/>
              </w:rPr>
              <w:t>二十二、灾害防治及应急管理支出</w:t>
            </w:r>
          </w:p>
        </w:tc>
        <w:tc>
          <w:tcPr>
            <w:tcW w:w="264" w:type="dxa"/>
            <w:tcBorders>
              <w:top w:val="single" w:color="000000" w:sz="6" w:space="0"/>
              <w:left w:val="nil"/>
              <w:bottom w:val="single" w:color="000000" w:sz="6" w:space="0"/>
              <w:right w:val="single" w:color="000000" w:sz="6" w:space="0"/>
            </w:tcBorders>
            <w:vAlign w:val="center"/>
          </w:tcPr>
          <w:p>
            <w:pPr>
              <w:spacing w:after="0" w:line="240" w:lineRule="auto"/>
              <w:ind w:left="141" w:leftChars="64" w:right="-77" w:firstLine="389" w:firstLineChars="177"/>
              <w:rPr>
                <w:lang w:eastAsia="zh-CN"/>
              </w:rPr>
            </w:pPr>
          </w:p>
        </w:tc>
        <w:tc>
          <w:tcPr>
            <w:tcW w:w="2571"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1191" w:type="dxa"/>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jc w:val="right"/>
            </w:pPr>
            <w:r>
              <w:rPr>
                <w:rFonts w:ascii="宋体" w:hAnsi="宋体" w:eastAsia="宋体" w:cs="宋体"/>
                <w:sz w:val="20"/>
              </w:rPr>
              <w:t>0.00</w:t>
            </w:r>
          </w:p>
        </w:tc>
      </w:tr>
      <w:tr>
        <w:tblPrEx>
          <w:tblLayout w:type="fixed"/>
          <w:tblCellMar>
            <w:top w:w="63" w:type="dxa"/>
            <w:left w:w="0" w:type="dxa"/>
            <w:bottom w:w="0" w:type="dxa"/>
            <w:right w:w="0" w:type="dxa"/>
          </w:tblCellMar>
        </w:tblPrEx>
        <w:trPr>
          <w:trHeight w:val="327" w:hRule="atLeast"/>
        </w:trPr>
        <w:tc>
          <w:tcPr>
            <w:tcW w:w="5437" w:type="dxa"/>
            <w:gridSpan w:val="2"/>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收入</w:t>
            </w:r>
          </w:p>
        </w:tc>
        <w:tc>
          <w:tcPr>
            <w:tcW w:w="1274" w:type="dxa"/>
            <w:gridSpan w:val="2"/>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4026" w:type="dxa"/>
            <w:gridSpan w:val="3"/>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支出</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274" w:type="dxa"/>
            <w:gridSpan w:val="2"/>
            <w:tcBorders>
              <w:top w:val="single" w:color="000000" w:sz="6" w:space="0"/>
              <w:left w:val="nil"/>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预算</w:t>
            </w: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项目</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预算</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274" w:type="dxa"/>
            <w:gridSpan w:val="2"/>
            <w:tcBorders>
              <w:top w:val="single" w:color="000000" w:sz="6" w:space="0"/>
              <w:left w:val="nil"/>
              <w:bottom w:val="single" w:color="000000" w:sz="6" w:space="0"/>
              <w:right w:val="nil"/>
            </w:tcBorders>
          </w:tcPr>
          <w:p>
            <w:pPr>
              <w:spacing w:after="0" w:line="240" w:lineRule="auto"/>
              <w:ind w:left="141" w:leftChars="64" w:right="-77" w:firstLine="318" w:firstLineChars="177"/>
              <w:jc w:val="center"/>
              <w:rPr>
                <w:sz w:val="18"/>
              </w:rPr>
            </w:pP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jc w:val="center"/>
              <w:rPr>
                <w:sz w:val="18"/>
              </w:rPr>
            </w:pP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r>
              <w:rPr>
                <w:rFonts w:ascii="宋体" w:hAnsi="宋体" w:eastAsia="宋体" w:cs="宋体"/>
                <w:sz w:val="18"/>
              </w:rPr>
              <w:t>二十三、其他支出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0.00</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jc w:val="center"/>
              <w:rPr>
                <w:sz w:val="18"/>
              </w:rPr>
            </w:pPr>
            <w:r>
              <w:rPr>
                <w:rFonts w:ascii="宋体" w:hAnsi="宋体" w:eastAsia="宋体" w:cs="宋体"/>
                <w:sz w:val="18"/>
              </w:rPr>
              <w:t>本年收入合计</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274" w:type="dxa"/>
            <w:gridSpan w:val="2"/>
            <w:tcBorders>
              <w:top w:val="single" w:color="000000" w:sz="6" w:space="0"/>
              <w:left w:val="nil"/>
              <w:bottom w:val="single" w:color="000000" w:sz="6" w:space="0"/>
              <w:right w:val="nil"/>
            </w:tcBorders>
          </w:tcPr>
          <w:p>
            <w:pPr>
              <w:spacing w:after="0" w:line="240" w:lineRule="auto"/>
              <w:jc w:val="center"/>
              <w:rPr>
                <w:sz w:val="18"/>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center"/>
              <w:rPr>
                <w:sz w:val="18"/>
              </w:rPr>
            </w:pPr>
            <w:r>
              <w:rPr>
                <w:rFonts w:ascii="宋体" w:hAnsi="宋体" w:eastAsia="宋体" w:cs="宋体"/>
                <w:sz w:val="18"/>
              </w:rPr>
              <w:t>本年支出合计</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3,293.04</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rPr>
            </w:pPr>
            <w:r>
              <w:rPr>
                <w:rFonts w:ascii="宋体" w:hAnsi="宋体" w:eastAsia="宋体" w:cs="宋体"/>
                <w:sz w:val="18"/>
              </w:rPr>
              <w:t>四、上级补助收入</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274" w:type="dxa"/>
            <w:gridSpan w:val="2"/>
            <w:tcBorders>
              <w:top w:val="single" w:color="000000" w:sz="6" w:space="0"/>
              <w:left w:val="nil"/>
              <w:bottom w:val="single" w:color="000000" w:sz="6" w:space="0"/>
              <w:right w:val="nil"/>
            </w:tcBorders>
          </w:tcPr>
          <w:p>
            <w:pPr>
              <w:spacing w:after="0" w:line="240" w:lineRule="auto"/>
              <w:jc w:val="center"/>
              <w:rPr>
                <w:rFonts w:hint="eastAsia" w:eastAsiaTheme="minorEastAsia"/>
                <w:sz w:val="18"/>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lang w:eastAsia="zh-CN"/>
              </w:rPr>
            </w:pPr>
            <w:r>
              <w:rPr>
                <w:rFonts w:ascii="宋体" w:hAnsi="宋体" w:eastAsia="宋体" w:cs="宋体"/>
                <w:sz w:val="18"/>
                <w:lang w:eastAsia="zh-CN"/>
              </w:rPr>
              <w:t>二十四、对附属单位补助支出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lang w:eastAsia="zh-CN"/>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0.00</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lang w:eastAsia="zh-CN"/>
              </w:rPr>
            </w:pPr>
            <w:r>
              <w:rPr>
                <w:rFonts w:ascii="宋体" w:hAnsi="宋体" w:eastAsia="宋体" w:cs="宋体"/>
                <w:sz w:val="18"/>
                <w:lang w:eastAsia="zh-CN"/>
              </w:rPr>
              <w:t>五、附属单位上缴收入</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lang w:eastAsia="zh-CN"/>
              </w:rPr>
            </w:pPr>
          </w:p>
        </w:tc>
        <w:tc>
          <w:tcPr>
            <w:tcW w:w="1274" w:type="dxa"/>
            <w:gridSpan w:val="2"/>
            <w:tcBorders>
              <w:top w:val="single" w:color="000000" w:sz="6" w:space="0"/>
              <w:left w:val="nil"/>
              <w:bottom w:val="single" w:color="000000" w:sz="6" w:space="0"/>
              <w:right w:val="nil"/>
            </w:tcBorders>
          </w:tcPr>
          <w:p>
            <w:pPr>
              <w:spacing w:after="0" w:line="240" w:lineRule="auto"/>
              <w:jc w:val="center"/>
              <w:rPr>
                <w:sz w:val="18"/>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lang w:eastAsia="zh-CN"/>
              </w:rPr>
            </w:pPr>
            <w:r>
              <w:rPr>
                <w:rFonts w:ascii="宋体" w:hAnsi="宋体" w:eastAsia="宋体" w:cs="宋体"/>
                <w:sz w:val="18"/>
                <w:lang w:eastAsia="zh-CN"/>
              </w:rPr>
              <w:t>二十五、上缴上级支出</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lang w:eastAsia="zh-CN"/>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0.00</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rPr>
                <w:sz w:val="18"/>
                <w:lang w:eastAsia="zh-CN"/>
              </w:rPr>
            </w:pPr>
            <w:r>
              <w:rPr>
                <w:rFonts w:ascii="宋体" w:hAnsi="宋体" w:eastAsia="宋体" w:cs="宋体"/>
                <w:sz w:val="18"/>
                <w:lang w:eastAsia="zh-CN"/>
              </w:rPr>
              <w:t>六、用事业基金弥补收支差额</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lang w:eastAsia="zh-CN"/>
              </w:rPr>
            </w:pPr>
          </w:p>
        </w:tc>
        <w:tc>
          <w:tcPr>
            <w:tcW w:w="1274" w:type="dxa"/>
            <w:gridSpan w:val="2"/>
            <w:tcBorders>
              <w:top w:val="single" w:color="000000" w:sz="6" w:space="0"/>
              <w:left w:val="nil"/>
              <w:bottom w:val="single" w:color="000000" w:sz="6" w:space="0"/>
              <w:right w:val="nil"/>
            </w:tcBorders>
          </w:tcPr>
          <w:p>
            <w:pPr>
              <w:spacing w:after="0" w:line="240" w:lineRule="auto"/>
              <w:jc w:val="center"/>
              <w:rPr>
                <w:sz w:val="18"/>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r>
              <w:rPr>
                <w:rFonts w:ascii="宋体" w:hAnsi="宋体" w:eastAsia="宋体" w:cs="宋体"/>
                <w:sz w:val="18"/>
              </w:rPr>
              <w:t>二十六、结转下年</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0.00</w:t>
            </w:r>
          </w:p>
        </w:tc>
      </w:tr>
      <w:tr>
        <w:tblPrEx>
          <w:tblLayout w:type="fixed"/>
          <w:tblCellMar>
            <w:top w:w="63" w:type="dxa"/>
            <w:left w:w="0" w:type="dxa"/>
            <w:bottom w:w="0" w:type="dxa"/>
            <w:right w:w="0" w:type="dxa"/>
          </w:tblCellMar>
        </w:tblPrEx>
        <w:trPr>
          <w:trHeight w:val="327" w:hRule="atLeast"/>
        </w:trPr>
        <w:tc>
          <w:tcPr>
            <w:tcW w:w="375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18" w:firstLineChars="177"/>
              <w:jc w:val="center"/>
              <w:rPr>
                <w:sz w:val="18"/>
              </w:rPr>
            </w:pPr>
            <w:r>
              <w:rPr>
                <w:rFonts w:ascii="宋体" w:hAnsi="宋体" w:eastAsia="宋体" w:cs="宋体"/>
                <w:sz w:val="18"/>
              </w:rPr>
              <w:t>收入总计</w:t>
            </w:r>
          </w:p>
        </w:tc>
        <w:tc>
          <w:tcPr>
            <w:tcW w:w="167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rPr>
                <w:sz w:val="18"/>
              </w:rPr>
            </w:pPr>
          </w:p>
        </w:tc>
        <w:tc>
          <w:tcPr>
            <w:tcW w:w="1274" w:type="dxa"/>
            <w:gridSpan w:val="2"/>
            <w:tcBorders>
              <w:top w:val="single" w:color="000000" w:sz="6" w:space="0"/>
              <w:left w:val="nil"/>
              <w:bottom w:val="single" w:color="000000" w:sz="6" w:space="0"/>
              <w:right w:val="nil"/>
            </w:tcBorders>
          </w:tcPr>
          <w:p>
            <w:pPr>
              <w:spacing w:after="0" w:line="240" w:lineRule="auto"/>
              <w:jc w:val="center"/>
              <w:rPr>
                <w:sz w:val="18"/>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3559" w:type="dxa"/>
            <w:tcBorders>
              <w:top w:val="single" w:color="000000" w:sz="6" w:space="0"/>
              <w:left w:val="single" w:color="000000" w:sz="6" w:space="0"/>
              <w:bottom w:val="single" w:color="000000" w:sz="6" w:space="0"/>
              <w:right w:val="nil"/>
            </w:tcBorders>
          </w:tcPr>
          <w:p>
            <w:pPr>
              <w:spacing w:after="0" w:line="240" w:lineRule="auto"/>
              <w:ind w:left="141" w:leftChars="64" w:right="-77" w:firstLine="318" w:firstLineChars="177"/>
              <w:jc w:val="center"/>
              <w:rPr>
                <w:sz w:val="18"/>
              </w:rPr>
            </w:pPr>
            <w:r>
              <w:rPr>
                <w:rFonts w:ascii="宋体" w:hAnsi="宋体" w:eastAsia="宋体" w:cs="宋体"/>
                <w:sz w:val="18"/>
              </w:rPr>
              <w:t>支出总计</w:t>
            </w:r>
          </w:p>
        </w:tc>
        <w:tc>
          <w:tcPr>
            <w:tcW w:w="264" w:type="dxa"/>
            <w:tcBorders>
              <w:top w:val="single" w:color="000000" w:sz="6" w:space="0"/>
              <w:left w:val="nil"/>
              <w:bottom w:val="single" w:color="000000" w:sz="6" w:space="0"/>
              <w:right w:val="single" w:color="000000" w:sz="6" w:space="0"/>
            </w:tcBorders>
          </w:tcPr>
          <w:p>
            <w:pPr>
              <w:spacing w:after="0" w:line="240" w:lineRule="auto"/>
              <w:ind w:left="141" w:leftChars="64" w:right="-77" w:firstLine="318" w:firstLineChars="177"/>
              <w:rPr>
                <w:sz w:val="18"/>
              </w:rPr>
            </w:pPr>
          </w:p>
        </w:tc>
        <w:tc>
          <w:tcPr>
            <w:tcW w:w="3762"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right"/>
              <w:rPr>
                <w:sz w:val="18"/>
              </w:rPr>
            </w:pPr>
            <w:r>
              <w:rPr>
                <w:rFonts w:ascii="宋体" w:hAnsi="宋体" w:eastAsia="宋体" w:cs="宋体"/>
                <w:sz w:val="18"/>
              </w:rPr>
              <w:t>3,293.04</w:t>
            </w:r>
          </w:p>
        </w:tc>
      </w:tr>
    </w:tbl>
    <w:p>
      <w:pPr>
        <w:spacing w:after="3"/>
        <w:ind w:left="141" w:leftChars="64" w:right="-77" w:firstLine="318" w:firstLineChars="177"/>
        <w:rPr>
          <w:lang w:eastAsia="zh-CN"/>
        </w:rPr>
      </w:pPr>
      <w:r>
        <w:rPr>
          <w:rFonts w:ascii="宋体" w:hAnsi="宋体" w:eastAsia="宋体" w:cs="宋体"/>
          <w:sz w:val="18"/>
          <w:lang w:eastAsia="zh-CN"/>
        </w:rPr>
        <w:t>注：财政拨款收支情况包括一般公共预算、政府性基金预算、国有资本经营预算拨款收支情况。</w:t>
      </w:r>
    </w:p>
    <w:p>
      <w:pPr>
        <w:spacing w:after="3"/>
        <w:ind w:left="141" w:leftChars="64" w:right="-77" w:firstLine="318" w:firstLineChars="177"/>
        <w:rPr>
          <w:lang w:eastAsia="zh-CN"/>
        </w:rPr>
      </w:pPr>
      <w:r>
        <w:rPr>
          <w:rFonts w:ascii="宋体" w:hAnsi="宋体" w:eastAsia="宋体" w:cs="宋体"/>
          <w:sz w:val="18"/>
          <w:lang w:eastAsia="zh-CN"/>
        </w:rPr>
        <w:t>　　本套报表金额单位转换时可能存在尾数误差。</w:t>
      </w:r>
      <w:r>
        <w:rPr>
          <w:lang w:eastAsia="zh-CN"/>
        </w:rPr>
        <w:br w:type="page"/>
      </w:r>
    </w:p>
    <w:p>
      <w:pPr>
        <w:spacing w:after="236"/>
        <w:ind w:left="141" w:leftChars="64" w:right="-77" w:firstLine="424" w:firstLineChars="177"/>
        <w:jc w:val="right"/>
      </w:pPr>
      <w:r>
        <w:rPr>
          <w:rFonts w:ascii="宋体" w:hAnsi="宋体" w:eastAsia="宋体" w:cs="宋体"/>
          <w:sz w:val="24"/>
        </w:rPr>
        <w:t>表2</w:t>
      </w:r>
    </w:p>
    <w:p>
      <w:pPr>
        <w:pStyle w:val="4"/>
        <w:ind w:left="141" w:leftChars="64" w:right="-77" w:firstLine="460" w:firstLineChars="177"/>
        <w:rPr>
          <w:rFonts w:ascii="黑体" w:hAnsi="黑体" w:eastAsia="黑体"/>
        </w:rPr>
      </w:pPr>
      <w:r>
        <w:rPr>
          <w:rFonts w:ascii="黑体" w:hAnsi="黑体" w:eastAsia="黑体"/>
        </w:rPr>
        <w:t>收入总体情况表</w:t>
      </w:r>
    </w:p>
    <w:p>
      <w:pPr>
        <w:rPr>
          <w:rFonts w:hint="eastAsia" w:eastAsiaTheme="minorEastAsia"/>
          <w:lang w:eastAsia="zh-CN"/>
        </w:rPr>
      </w:pPr>
      <w:r>
        <w:rPr>
          <w:rFonts w:ascii="宋体" w:hAnsi="宋体" w:eastAsia="宋体" w:cs="宋体"/>
          <w:sz w:val="24"/>
          <w:lang w:eastAsia="zh-CN"/>
        </w:rPr>
        <w:t>单位名称：中共普宁市纪律检查委员会办公室</w:t>
      </w:r>
      <w:r>
        <w:rPr>
          <w:rFonts w:hint="eastAsia" w:ascii="宋体" w:hAnsi="宋体" w:eastAsia="宋体" w:cs="宋体"/>
          <w:sz w:val="24"/>
          <w:lang w:eastAsia="zh-CN"/>
        </w:rPr>
        <w:t xml:space="preserve"> </w:t>
      </w:r>
      <w:r>
        <w:rPr>
          <w:rFonts w:ascii="宋体" w:hAnsi="宋体" w:eastAsia="宋体" w:cs="宋体"/>
          <w:sz w:val="24"/>
          <w:lang w:eastAsia="zh-CN"/>
        </w:rPr>
        <w:t xml:space="preserve">                                                                          单位：万元</w:t>
      </w:r>
    </w:p>
    <w:tbl>
      <w:tblPr>
        <w:tblStyle w:val="12"/>
        <w:tblW w:w="15105" w:type="dxa"/>
        <w:tblInd w:w="8" w:type="dxa"/>
        <w:tblLayout w:type="fixed"/>
        <w:tblCellMar>
          <w:top w:w="63" w:type="dxa"/>
          <w:left w:w="8" w:type="dxa"/>
          <w:bottom w:w="0" w:type="dxa"/>
          <w:right w:w="7" w:type="dxa"/>
        </w:tblCellMar>
      </w:tblPr>
      <w:tblGrid>
        <w:gridCol w:w="974"/>
        <w:gridCol w:w="2599"/>
        <w:gridCol w:w="1299"/>
        <w:gridCol w:w="1136"/>
        <w:gridCol w:w="1136"/>
        <w:gridCol w:w="1137"/>
        <w:gridCol w:w="974"/>
        <w:gridCol w:w="974"/>
        <w:gridCol w:w="812"/>
        <w:gridCol w:w="812"/>
        <w:gridCol w:w="813"/>
        <w:gridCol w:w="813"/>
        <w:gridCol w:w="813"/>
        <w:gridCol w:w="813"/>
      </w:tblGrid>
      <w:tr>
        <w:tblPrEx>
          <w:tblLayout w:type="fixed"/>
          <w:tblCellMar>
            <w:top w:w="63" w:type="dxa"/>
            <w:left w:w="8" w:type="dxa"/>
            <w:bottom w:w="0" w:type="dxa"/>
            <w:right w:w="7" w:type="dxa"/>
          </w:tblCellMar>
        </w:tblPrEx>
        <w:trPr>
          <w:trHeight w:val="327" w:hRule="atLeast"/>
        </w:trPr>
        <w:tc>
          <w:tcPr>
            <w:tcW w:w="3573" w:type="dxa"/>
            <w:gridSpan w:val="2"/>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功能分类科目</w:t>
            </w:r>
          </w:p>
        </w:tc>
        <w:tc>
          <w:tcPr>
            <w:tcW w:w="1299"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firstLine="354" w:firstLineChars="177"/>
              <w:jc w:val="center"/>
            </w:pPr>
            <w:r>
              <w:rPr>
                <w:rFonts w:ascii="宋体" w:hAnsi="宋体" w:eastAsia="宋体" w:cs="宋体"/>
                <w:sz w:val="20"/>
              </w:rPr>
              <w:t>合计</w:t>
            </w:r>
          </w:p>
        </w:tc>
        <w:tc>
          <w:tcPr>
            <w:tcW w:w="3409" w:type="dxa"/>
            <w:gridSpan w:val="3"/>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财政拨款收入</w:t>
            </w:r>
          </w:p>
        </w:tc>
        <w:tc>
          <w:tcPr>
            <w:tcW w:w="1948" w:type="dxa"/>
            <w:gridSpan w:val="2"/>
            <w:tcBorders>
              <w:top w:val="single" w:color="000000" w:sz="6" w:space="0"/>
              <w:left w:val="single" w:color="000000" w:sz="6" w:space="0"/>
              <w:bottom w:val="single" w:color="000000" w:sz="6" w:space="0"/>
              <w:right w:val="single" w:color="000000" w:sz="6" w:space="0"/>
            </w:tcBorders>
          </w:tcPr>
          <w:p>
            <w:pPr>
              <w:spacing w:after="0" w:line="240" w:lineRule="auto"/>
              <w:jc w:val="both"/>
            </w:pPr>
            <w:r>
              <w:rPr>
                <w:rFonts w:ascii="宋体" w:hAnsi="宋体" w:eastAsia="宋体" w:cs="宋体"/>
                <w:sz w:val="20"/>
              </w:rPr>
              <w:t>财政专户拨款收入</w:t>
            </w:r>
          </w:p>
        </w:tc>
        <w:tc>
          <w:tcPr>
            <w:tcW w:w="2437" w:type="dxa"/>
            <w:gridSpan w:val="3"/>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其他资金收入</w:t>
            </w:r>
          </w:p>
        </w:tc>
        <w:tc>
          <w:tcPr>
            <w:tcW w:w="813"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上级补助收入</w:t>
            </w:r>
          </w:p>
        </w:tc>
        <w:tc>
          <w:tcPr>
            <w:tcW w:w="813"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附属单位上缴收入</w:t>
            </w:r>
          </w:p>
        </w:tc>
        <w:tc>
          <w:tcPr>
            <w:tcW w:w="813" w:type="dxa"/>
            <w:vMerge w:val="restart"/>
            <w:tcBorders>
              <w:top w:val="single" w:color="000000" w:sz="6" w:space="0"/>
              <w:left w:val="single" w:color="000000" w:sz="6" w:space="0"/>
              <w:bottom w:val="single" w:color="000000" w:sz="6" w:space="0"/>
              <w:right w:val="single" w:color="000000" w:sz="6" w:space="0"/>
            </w:tcBorders>
          </w:tcPr>
          <w:p>
            <w:pPr>
              <w:spacing w:after="0" w:line="240" w:lineRule="auto"/>
              <w:jc w:val="center"/>
              <w:rPr>
                <w:lang w:eastAsia="zh-CN"/>
              </w:rPr>
            </w:pPr>
            <w:r>
              <w:rPr>
                <w:rFonts w:ascii="宋体" w:hAnsi="宋体" w:eastAsia="宋体" w:cs="宋体"/>
                <w:sz w:val="20"/>
                <w:lang w:eastAsia="zh-CN"/>
              </w:rPr>
              <w:t>用事业基金弥补收支差额</w:t>
            </w:r>
          </w:p>
        </w:tc>
      </w:tr>
      <w:tr>
        <w:tblPrEx>
          <w:tblLayout w:type="fixed"/>
          <w:tblCellMar>
            <w:top w:w="63" w:type="dxa"/>
            <w:left w:w="8" w:type="dxa"/>
            <w:bottom w:w="0" w:type="dxa"/>
            <w:right w:w="7" w:type="dxa"/>
          </w:tblCellMar>
        </w:tblPrEx>
        <w:trPr>
          <w:trHeight w:val="936" w:hRule="atLeast"/>
        </w:trPr>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jc w:val="both"/>
            </w:pPr>
            <w:r>
              <w:rPr>
                <w:rFonts w:ascii="宋体" w:hAnsi="宋体" w:eastAsia="宋体" w:cs="宋体"/>
                <w:sz w:val="20"/>
              </w:rPr>
              <w:t>科目编码</w:t>
            </w:r>
          </w:p>
        </w:tc>
        <w:tc>
          <w:tcPr>
            <w:tcW w:w="259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firstLine="354" w:firstLineChars="177"/>
              <w:jc w:val="center"/>
            </w:pPr>
            <w:r>
              <w:rPr>
                <w:rFonts w:ascii="宋体" w:hAnsi="宋体" w:eastAsia="宋体" w:cs="宋体"/>
                <w:sz w:val="20"/>
              </w:rPr>
              <w:t>科目名称</w:t>
            </w:r>
          </w:p>
        </w:tc>
        <w:tc>
          <w:tcPr>
            <w:tcW w:w="1299"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一般公共预算</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政府性基金预算</w:t>
            </w:r>
          </w:p>
        </w:tc>
        <w:tc>
          <w:tcPr>
            <w:tcW w:w="1137"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国有资本经营预算</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both"/>
            </w:pPr>
            <w:r>
              <w:rPr>
                <w:rFonts w:ascii="宋体" w:hAnsi="宋体" w:eastAsia="宋体" w:cs="宋体"/>
                <w:sz w:val="20"/>
              </w:rPr>
              <w:t>教育收费</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其他专户收入拨款</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事业收入</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经营收入</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9"/>
              <w:jc w:val="center"/>
            </w:pPr>
            <w:r>
              <w:rPr>
                <w:rFonts w:ascii="宋体" w:hAnsi="宋体" w:eastAsia="宋体" w:cs="宋体"/>
                <w:sz w:val="20"/>
              </w:rPr>
              <w:t>其他收入</w:t>
            </w:r>
          </w:p>
        </w:tc>
        <w:tc>
          <w:tcPr>
            <w:tcW w:w="813"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9"/>
            </w:pPr>
          </w:p>
        </w:tc>
        <w:tc>
          <w:tcPr>
            <w:tcW w:w="813"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9"/>
            </w:pPr>
          </w:p>
        </w:tc>
        <w:tc>
          <w:tcPr>
            <w:tcW w:w="813"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vAlign w:val="bottom"/>
          </w:tcPr>
          <w:p>
            <w:pPr>
              <w:spacing w:after="0" w:line="240" w:lineRule="auto"/>
              <w:rPr>
                <w:sz w:val="18"/>
              </w:rPr>
            </w:pP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合计</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一般公共服务支出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纪检监察事务</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2011101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行政运行</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2,258.95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2,258.95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2011199</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jc w:val="both"/>
              <w:rPr>
                <w:sz w:val="18"/>
                <w:lang w:eastAsia="zh-CN"/>
              </w:rPr>
            </w:pPr>
            <w:r>
              <w:rPr>
                <w:rFonts w:ascii="宋体" w:hAnsi="宋体" w:eastAsia="宋体" w:cs="宋体"/>
                <w:sz w:val="18"/>
                <w:lang w:eastAsia="zh-CN"/>
              </w:rPr>
              <w:t>　　其他纪检监察事务支出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460.00</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460.00</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社会保障和就业支出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20805</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lang w:eastAsia="zh-CN"/>
              </w:rPr>
            </w:pPr>
            <w:r>
              <w:rPr>
                <w:rFonts w:ascii="宋体" w:hAnsi="宋体" w:eastAsia="宋体" w:cs="宋体"/>
                <w:sz w:val="18"/>
                <w:lang w:eastAsia="zh-CN"/>
              </w:rPr>
              <w:t>　行政事业单位养老支出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2080501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行政单位离退休</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34.91</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34.91</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549" w:hRule="exact"/>
        </w:trPr>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2080505</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lang w:eastAsia="zh-CN"/>
              </w:rPr>
            </w:pPr>
            <w:r>
              <w:rPr>
                <w:rFonts w:ascii="宋体" w:hAnsi="宋体" w:eastAsia="宋体" w:cs="宋体"/>
                <w:sz w:val="18"/>
                <w:lang w:eastAsia="zh-CN"/>
              </w:rPr>
              <w:t>机关事业单位基本养老保险缴费支出</w:t>
            </w:r>
          </w:p>
        </w:tc>
        <w:tc>
          <w:tcPr>
            <w:tcW w:w="129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228.65</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228.65</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557" w:hRule="exact"/>
        </w:trPr>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2080506</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lang w:eastAsia="zh-CN"/>
              </w:rPr>
            </w:pPr>
            <w:r>
              <w:rPr>
                <w:rFonts w:ascii="宋体" w:hAnsi="宋体" w:eastAsia="宋体" w:cs="宋体"/>
                <w:sz w:val="18"/>
                <w:lang w:eastAsia="zh-CN"/>
              </w:rPr>
              <w:t>　　机关事业单位职业年金缴费支出</w:t>
            </w:r>
          </w:p>
        </w:tc>
        <w:tc>
          <w:tcPr>
            <w:tcW w:w="129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114.32</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114.32</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卫生健康支出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21011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行政事业单位医疗</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2101101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行政单位医疗</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48.02</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48.02</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2101199</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lang w:eastAsia="zh-CN"/>
              </w:rPr>
            </w:pPr>
            <w:r>
              <w:rPr>
                <w:rFonts w:ascii="宋体" w:hAnsi="宋体" w:eastAsia="宋体" w:cs="宋体"/>
                <w:sz w:val="18"/>
                <w:lang w:eastAsia="zh-CN"/>
              </w:rPr>
              <w:t>　　其他行政事业单位医疗支出</w:t>
            </w:r>
          </w:p>
        </w:tc>
        <w:tc>
          <w:tcPr>
            <w:tcW w:w="129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1.32</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1.32</w:t>
            </w:r>
          </w:p>
        </w:tc>
        <w:tc>
          <w:tcPr>
            <w:tcW w:w="1136"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住房保障支出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22102</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住房改革支出</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69" w:hRule="exact"/>
        </w:trPr>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2210201</w:t>
            </w:r>
          </w:p>
        </w:tc>
        <w:tc>
          <w:tcPr>
            <w:tcW w:w="2599"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　　住房公积金</w:t>
            </w:r>
          </w:p>
        </w:tc>
        <w:tc>
          <w:tcPr>
            <w:tcW w:w="129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13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137"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97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2"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813"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注：本表反映本部门收入总体情况。</w:t>
      </w:r>
    </w:p>
    <w:p>
      <w:pPr>
        <w:spacing w:after="236"/>
        <w:ind w:left="141" w:leftChars="64" w:right="-77" w:firstLine="424" w:firstLineChars="177"/>
        <w:jc w:val="right"/>
        <w:rPr>
          <w:rFonts w:ascii="宋体" w:hAnsi="宋体" w:eastAsia="宋体" w:cs="宋体"/>
          <w:sz w:val="24"/>
          <w:lang w:eastAsia="zh-CN"/>
        </w:rPr>
      </w:pPr>
    </w:p>
    <w:p>
      <w:pPr>
        <w:spacing w:after="236"/>
        <w:ind w:left="141" w:leftChars="64" w:right="-77" w:firstLine="424" w:firstLineChars="177"/>
        <w:jc w:val="right"/>
        <w:rPr>
          <w:lang w:eastAsia="zh-CN"/>
        </w:rPr>
      </w:pPr>
      <w:r>
        <w:rPr>
          <w:rFonts w:ascii="宋体" w:hAnsi="宋体" w:eastAsia="宋体" w:cs="宋体"/>
          <w:sz w:val="24"/>
          <w:lang w:eastAsia="zh-CN"/>
        </w:rPr>
        <w:t>表3</w:t>
      </w:r>
    </w:p>
    <w:p>
      <w:pPr>
        <w:pStyle w:val="4"/>
        <w:spacing w:after="195"/>
        <w:ind w:left="141" w:leftChars="64" w:right="-77" w:firstLine="460" w:firstLineChars="177"/>
        <w:rPr>
          <w:rFonts w:ascii="黑体" w:hAnsi="黑体" w:eastAsia="黑体"/>
          <w:lang w:eastAsia="zh-CN"/>
        </w:rPr>
      </w:pPr>
      <w:r>
        <w:rPr>
          <w:rFonts w:ascii="黑体" w:hAnsi="黑体" w:eastAsia="黑体"/>
          <w:lang w:eastAsia="zh-CN"/>
        </w:rPr>
        <w:t>支出总体情况表</w:t>
      </w:r>
    </w:p>
    <w:p>
      <w:pPr>
        <w:tabs>
          <w:tab w:val="right" w:pos="15120"/>
        </w:tabs>
        <w:spacing w:after="0"/>
        <w:ind w:right="-77"/>
        <w:rPr>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8" w:type="dxa"/>
          <w:bottom w:w="0" w:type="dxa"/>
          <w:right w:w="7" w:type="dxa"/>
        </w:tblCellMar>
      </w:tblPr>
      <w:tblGrid>
        <w:gridCol w:w="1813"/>
        <w:gridCol w:w="2719"/>
        <w:gridCol w:w="1510"/>
        <w:gridCol w:w="1511"/>
        <w:gridCol w:w="1510"/>
        <w:gridCol w:w="1510"/>
        <w:gridCol w:w="1511"/>
        <w:gridCol w:w="1511"/>
        <w:gridCol w:w="1510"/>
      </w:tblGrid>
      <w:tr>
        <w:tblPrEx>
          <w:tblLayout w:type="fixed"/>
          <w:tblCellMar>
            <w:top w:w="63" w:type="dxa"/>
            <w:left w:w="8" w:type="dxa"/>
            <w:bottom w:w="0" w:type="dxa"/>
            <w:right w:w="7" w:type="dxa"/>
          </w:tblCellMar>
        </w:tblPrEx>
        <w:trPr>
          <w:trHeight w:val="327" w:hRule="atLeast"/>
        </w:trPr>
        <w:tc>
          <w:tcPr>
            <w:tcW w:w="4532" w:type="dxa"/>
            <w:gridSpan w:val="2"/>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功能分类科目</w:t>
            </w:r>
          </w:p>
        </w:tc>
        <w:tc>
          <w:tcPr>
            <w:tcW w:w="1510"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firstLine="354" w:firstLineChars="177"/>
            </w:pPr>
            <w:r>
              <w:rPr>
                <w:rFonts w:ascii="宋体" w:hAnsi="宋体" w:eastAsia="宋体" w:cs="宋体"/>
                <w:sz w:val="20"/>
              </w:rPr>
              <w:t>合计</w:t>
            </w:r>
          </w:p>
        </w:tc>
        <w:tc>
          <w:tcPr>
            <w:tcW w:w="1511"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right="-77" w:firstLine="200" w:firstLineChars="100"/>
            </w:pPr>
            <w:r>
              <w:rPr>
                <w:rFonts w:ascii="宋体" w:hAnsi="宋体" w:eastAsia="宋体" w:cs="宋体"/>
                <w:sz w:val="20"/>
              </w:rPr>
              <w:t>基本支出</w:t>
            </w:r>
          </w:p>
        </w:tc>
        <w:tc>
          <w:tcPr>
            <w:tcW w:w="1510"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right="-77" w:firstLine="400" w:firstLineChars="200"/>
            </w:pPr>
            <w:r>
              <w:rPr>
                <w:rFonts w:ascii="宋体" w:hAnsi="宋体" w:eastAsia="宋体" w:cs="宋体"/>
                <w:sz w:val="20"/>
              </w:rPr>
              <w:t>项目支出</w:t>
            </w:r>
          </w:p>
        </w:tc>
        <w:tc>
          <w:tcPr>
            <w:tcW w:w="1510" w:type="dxa"/>
            <w:vMerge w:val="restart"/>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rPr>
                <w:rFonts w:ascii="宋体" w:hAnsi="宋体" w:eastAsia="宋体" w:cs="宋体"/>
                <w:sz w:val="20"/>
              </w:rPr>
            </w:pPr>
            <w:r>
              <w:rPr>
                <w:rFonts w:ascii="宋体" w:hAnsi="宋体" w:eastAsia="宋体" w:cs="宋体"/>
                <w:sz w:val="20"/>
              </w:rPr>
              <w:t>事业单位经营</w:t>
            </w:r>
          </w:p>
          <w:p>
            <w:pPr>
              <w:spacing w:after="0" w:line="240" w:lineRule="auto"/>
              <w:ind w:left="141" w:leftChars="64" w:right="-77"/>
            </w:pPr>
            <w:r>
              <w:rPr>
                <w:rFonts w:ascii="宋体" w:hAnsi="宋体" w:eastAsia="宋体" w:cs="宋体"/>
                <w:sz w:val="20"/>
              </w:rPr>
              <w:t>支出</w:t>
            </w:r>
          </w:p>
        </w:tc>
        <w:tc>
          <w:tcPr>
            <w:tcW w:w="1511" w:type="dxa"/>
            <w:vMerge w:val="restart"/>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200" w:firstLineChars="100"/>
              <w:rPr>
                <w:rFonts w:ascii="宋体" w:hAnsi="宋体" w:eastAsia="宋体" w:cs="宋体"/>
                <w:sz w:val="20"/>
              </w:rPr>
            </w:pPr>
            <w:r>
              <w:rPr>
                <w:rFonts w:ascii="宋体" w:hAnsi="宋体" w:eastAsia="宋体" w:cs="宋体"/>
                <w:sz w:val="20"/>
              </w:rPr>
              <w:t>对附属单位</w:t>
            </w:r>
          </w:p>
          <w:p>
            <w:pPr>
              <w:spacing w:after="0" w:line="240" w:lineRule="auto"/>
              <w:ind w:left="141" w:leftChars="64" w:right="-77" w:firstLine="200" w:firstLineChars="100"/>
            </w:pPr>
            <w:r>
              <w:rPr>
                <w:rFonts w:ascii="宋体" w:hAnsi="宋体" w:eastAsia="宋体" w:cs="宋体"/>
                <w:sz w:val="20"/>
              </w:rPr>
              <w:t>补助支出</w:t>
            </w:r>
          </w:p>
        </w:tc>
        <w:tc>
          <w:tcPr>
            <w:tcW w:w="1511"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pPr>
            <w:r>
              <w:rPr>
                <w:rFonts w:ascii="宋体" w:hAnsi="宋体" w:eastAsia="宋体" w:cs="宋体"/>
                <w:sz w:val="20"/>
              </w:rPr>
              <w:t>上缴上级支出</w:t>
            </w:r>
          </w:p>
        </w:tc>
        <w:tc>
          <w:tcPr>
            <w:tcW w:w="1510"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right="-77" w:firstLine="200" w:firstLineChars="100"/>
            </w:pPr>
            <w:r>
              <w:rPr>
                <w:rFonts w:ascii="宋体" w:hAnsi="宋体" w:eastAsia="宋体" w:cs="宋体"/>
                <w:sz w:val="20"/>
              </w:rPr>
              <w:t>结转下年</w:t>
            </w:r>
          </w:p>
        </w:tc>
      </w:tr>
      <w:tr>
        <w:tblPrEx>
          <w:tblLayout w:type="fixed"/>
          <w:tblCellMar>
            <w:top w:w="63" w:type="dxa"/>
            <w:left w:w="8" w:type="dxa"/>
            <w:bottom w:w="0" w:type="dxa"/>
            <w:right w:w="7" w:type="dxa"/>
          </w:tblCellMar>
        </w:tblPrEx>
        <w:trPr>
          <w:trHeight w:val="327" w:hRule="atLeas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科目编码</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科目名称</w:t>
            </w:r>
          </w:p>
        </w:tc>
        <w:tc>
          <w:tcPr>
            <w:tcW w:w="1510"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511"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510"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510" w:type="dxa"/>
            <w:vMerge w:val="continue"/>
            <w:tcBorders>
              <w:top w:val="nil"/>
              <w:left w:val="single" w:color="000000" w:sz="6" w:space="0"/>
              <w:bottom w:val="single" w:color="000000" w:sz="6" w:space="0"/>
              <w:right w:val="single" w:color="000000" w:sz="6" w:space="0"/>
            </w:tcBorders>
            <w:vAlign w:val="bottom"/>
          </w:tcPr>
          <w:p>
            <w:pPr>
              <w:spacing w:after="0" w:line="240" w:lineRule="auto"/>
              <w:ind w:left="141" w:leftChars="64" w:right="-77" w:firstLine="389" w:firstLineChars="177"/>
            </w:pPr>
          </w:p>
        </w:tc>
        <w:tc>
          <w:tcPr>
            <w:tcW w:w="1511" w:type="dxa"/>
            <w:vMerge w:val="continue"/>
            <w:tcBorders>
              <w:top w:val="nil"/>
              <w:left w:val="single" w:color="000000" w:sz="6" w:space="0"/>
              <w:bottom w:val="single" w:color="000000" w:sz="6" w:space="0"/>
              <w:right w:val="single" w:color="000000" w:sz="6" w:space="0"/>
            </w:tcBorders>
            <w:vAlign w:val="bottom"/>
          </w:tcPr>
          <w:p>
            <w:pPr>
              <w:spacing w:after="0" w:line="240" w:lineRule="auto"/>
              <w:ind w:left="141" w:leftChars="64" w:right="-77" w:firstLine="389" w:firstLineChars="177"/>
            </w:pPr>
          </w:p>
        </w:tc>
        <w:tc>
          <w:tcPr>
            <w:tcW w:w="1511"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510"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r>
      <w:tr>
        <w:tblPrEx>
          <w:tblLayout w:type="fixed"/>
          <w:tblCellMar>
            <w:top w:w="63" w:type="dxa"/>
            <w:left w:w="8" w:type="dxa"/>
            <w:bottom w:w="0" w:type="dxa"/>
            <w:right w:w="7" w:type="dxa"/>
          </w:tblCellMar>
        </w:tblPrEx>
        <w:trPr>
          <w:trHeight w:val="397"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合计</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3,293.04</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2,378.04</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915.00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一般公共服务支出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1,803.95</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915.00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纪检监察事务</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2,718.95</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1,803.95</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915.00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2011101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行政运行</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2,258.95</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1,803.95</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455.00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2011199</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lang w:eastAsia="zh-CN"/>
              </w:rPr>
            </w:pPr>
            <w:r>
              <w:rPr>
                <w:rFonts w:ascii="宋体" w:hAnsi="宋体" w:eastAsia="宋体" w:cs="宋体"/>
                <w:sz w:val="18"/>
                <w:lang w:eastAsia="zh-CN"/>
              </w:rPr>
              <w:t>其他纪检监察事务支出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460.00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460.00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社会保障和就业支出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20805</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lang w:eastAsia="zh-CN"/>
              </w:rPr>
            </w:pPr>
            <w:r>
              <w:rPr>
                <w:rFonts w:ascii="宋体" w:hAnsi="宋体" w:eastAsia="宋体" w:cs="宋体"/>
                <w:sz w:val="18"/>
                <w:lang w:eastAsia="zh-CN"/>
              </w:rPr>
              <w:t>行政事业单位养老支出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377.88</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2080501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行政单位离退休</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34.91</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34.91</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538" w:hRule="exact"/>
        </w:trPr>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2080505</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rFonts w:ascii="宋体" w:hAnsi="宋体" w:eastAsia="宋体" w:cs="宋体"/>
                <w:sz w:val="18"/>
                <w:lang w:eastAsia="zh-CN"/>
              </w:rPr>
            </w:pPr>
            <w:r>
              <w:rPr>
                <w:rFonts w:ascii="宋体" w:hAnsi="宋体" w:eastAsia="宋体" w:cs="宋体"/>
                <w:sz w:val="18"/>
                <w:lang w:eastAsia="zh-CN"/>
              </w:rPr>
              <w:t>机关事业单位基本养老保险</w:t>
            </w:r>
          </w:p>
          <w:p>
            <w:pPr>
              <w:spacing w:after="0" w:line="240" w:lineRule="auto"/>
              <w:jc w:val="center"/>
              <w:rPr>
                <w:sz w:val="18"/>
                <w:lang w:eastAsia="zh-CN"/>
              </w:rPr>
            </w:pPr>
            <w:r>
              <w:rPr>
                <w:rFonts w:ascii="宋体" w:hAnsi="宋体" w:eastAsia="宋体" w:cs="宋体"/>
                <w:sz w:val="18"/>
                <w:lang w:eastAsia="zh-CN"/>
              </w:rPr>
              <w:t>缴费支出</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228.65</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228.65</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2080506</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rFonts w:ascii="宋体" w:hAnsi="宋体" w:eastAsia="宋体" w:cs="宋体"/>
                <w:sz w:val="18"/>
                <w:lang w:eastAsia="zh-CN"/>
              </w:rPr>
            </w:pPr>
            <w:r>
              <w:rPr>
                <w:rFonts w:ascii="宋体" w:hAnsi="宋体" w:eastAsia="宋体" w:cs="宋体"/>
                <w:sz w:val="18"/>
                <w:lang w:eastAsia="zh-CN"/>
              </w:rPr>
              <w:t>机关事业单位职业年金缴费支出</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114.32</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114.32</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卫生健康支出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21011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行政事业单位医疗</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49.35</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2101101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行政单位医疗</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48.02</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48.02</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rPr>
                <w:sz w:val="18"/>
              </w:rPr>
            </w:pPr>
            <w:r>
              <w:rPr>
                <w:rFonts w:ascii="宋体" w:hAnsi="宋体" w:eastAsia="宋体" w:cs="宋体"/>
                <w:sz w:val="18"/>
              </w:rPr>
              <w:t>2101199</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lang w:eastAsia="zh-CN"/>
              </w:rPr>
            </w:pPr>
            <w:r>
              <w:rPr>
                <w:rFonts w:ascii="宋体" w:hAnsi="宋体" w:eastAsia="宋体" w:cs="宋体"/>
                <w:sz w:val="18"/>
                <w:lang w:eastAsia="zh-CN"/>
              </w:rPr>
              <w:t>其他行政事业单位医疗支出</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1.32</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1.32</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住房保障支出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22102</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住房改革支出</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r>
        <w:tblPrEx>
          <w:tblLayout w:type="fixed"/>
          <w:tblCellMar>
            <w:top w:w="63" w:type="dxa"/>
            <w:left w:w="8" w:type="dxa"/>
            <w:bottom w:w="0" w:type="dxa"/>
            <w:right w:w="7" w:type="dxa"/>
          </w:tblCellMar>
        </w:tblPrEx>
        <w:trPr>
          <w:trHeight w:val="340" w:hRule="exact"/>
        </w:trPr>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rPr>
                <w:sz w:val="18"/>
              </w:rPr>
            </w:pPr>
            <w:r>
              <w:rPr>
                <w:rFonts w:ascii="宋体" w:hAnsi="宋体" w:eastAsia="宋体" w:cs="宋体"/>
                <w:sz w:val="18"/>
              </w:rPr>
              <w:t>2210201</w:t>
            </w:r>
          </w:p>
        </w:tc>
        <w:tc>
          <w:tcPr>
            <w:tcW w:w="271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住房公积金</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146.87</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1"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c>
          <w:tcPr>
            <w:tcW w:w="1510"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sz w:val="18"/>
              </w:rPr>
            </w:pPr>
            <w:r>
              <w:rPr>
                <w:rFonts w:ascii="宋体" w:hAnsi="宋体" w:eastAsia="宋体" w:cs="宋体"/>
                <w:sz w:val="18"/>
              </w:rPr>
              <w:t>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注：本表反映本部门支出总体情况。</w:t>
      </w:r>
    </w:p>
    <w:p>
      <w:pPr>
        <w:spacing w:after="234"/>
        <w:ind w:left="141" w:leftChars="64" w:right="-77" w:firstLine="424" w:firstLineChars="177"/>
        <w:jc w:val="right"/>
        <w:rPr>
          <w:rFonts w:ascii="宋体" w:hAnsi="宋体" w:eastAsia="宋体" w:cs="宋体"/>
          <w:sz w:val="24"/>
          <w:lang w:eastAsia="zh-CN"/>
        </w:rPr>
      </w:pPr>
    </w:p>
    <w:p>
      <w:pPr>
        <w:spacing w:after="234"/>
        <w:ind w:left="141" w:leftChars="64" w:right="-77" w:firstLine="424" w:firstLineChars="177"/>
        <w:jc w:val="right"/>
        <w:rPr>
          <w:rFonts w:ascii="宋体" w:hAnsi="宋体" w:eastAsia="宋体" w:cs="宋体"/>
          <w:sz w:val="24"/>
          <w:lang w:eastAsia="zh-CN"/>
        </w:rPr>
      </w:pPr>
      <w:r>
        <w:rPr>
          <w:rFonts w:ascii="宋体" w:hAnsi="宋体" w:eastAsia="宋体" w:cs="宋体"/>
          <w:sz w:val="24"/>
          <w:lang w:eastAsia="zh-CN"/>
        </w:rPr>
        <w:t xml:space="preserve">表4 </w:t>
      </w:r>
    </w:p>
    <w:p>
      <w:pPr>
        <w:jc w:val="center"/>
        <w:rPr>
          <w:rFonts w:ascii="黑体" w:hAnsi="黑体" w:eastAsia="黑体" w:cs="宋体"/>
          <w:sz w:val="26"/>
          <w:lang w:eastAsia="zh-CN"/>
        </w:rPr>
      </w:pPr>
      <w:r>
        <w:rPr>
          <w:rFonts w:ascii="黑体" w:hAnsi="黑体" w:eastAsia="黑体" w:cs="宋体"/>
          <w:sz w:val="26"/>
          <w:lang w:eastAsia="zh-CN"/>
        </w:rPr>
        <w:t>财政拨款收支总体情况表</w:t>
      </w:r>
    </w:p>
    <w:p>
      <w:pPr>
        <w:spacing w:after="0" w:line="400" w:lineRule="exact"/>
        <w:jc w:val="center"/>
        <w:rPr>
          <w:rFonts w:hint="eastAsia" w:ascii="黑体" w:hAnsi="黑体" w:eastAsia="黑体" w:cs="宋体"/>
          <w:sz w:val="26"/>
          <w:lang w:eastAsia="zh-CN"/>
        </w:rPr>
      </w:pPr>
    </w:p>
    <w:p>
      <w:pPr>
        <w:tabs>
          <w:tab w:val="right" w:pos="15120"/>
        </w:tabs>
        <w:spacing w:after="0"/>
        <w:ind w:right="-77"/>
        <w:rPr>
          <w:rFonts w:hint="eastAsia" w:eastAsiaTheme="minorEastAsia"/>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0" w:type="dxa"/>
          <w:bottom w:w="0" w:type="dxa"/>
          <w:right w:w="8" w:type="dxa"/>
        </w:tblCellMar>
      </w:tblPr>
      <w:tblGrid>
        <w:gridCol w:w="3775"/>
        <w:gridCol w:w="1688"/>
        <w:gridCol w:w="658"/>
        <w:gridCol w:w="622"/>
        <w:gridCol w:w="809"/>
        <w:gridCol w:w="3576"/>
        <w:gridCol w:w="200"/>
        <w:gridCol w:w="3777"/>
      </w:tblGrid>
      <w:tr>
        <w:tblPrEx>
          <w:tblLayout w:type="fixed"/>
          <w:tblCellMar>
            <w:top w:w="63" w:type="dxa"/>
            <w:left w:w="0" w:type="dxa"/>
            <w:bottom w:w="0" w:type="dxa"/>
            <w:right w:w="8" w:type="dxa"/>
          </w:tblCellMar>
        </w:tblPrEx>
        <w:trPr>
          <w:trHeight w:val="312" w:hRule="exact"/>
        </w:trPr>
        <w:tc>
          <w:tcPr>
            <w:tcW w:w="5463" w:type="dxa"/>
            <w:gridSpan w:val="2"/>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收入</w:t>
            </w: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3977"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支出</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pPr>
            <w:r>
              <w:rPr>
                <w:rFonts w:ascii="宋体" w:hAnsi="宋体" w:eastAsia="宋体" w:cs="宋体"/>
                <w:sz w:val="20"/>
              </w:rPr>
              <w:t>预算</w:t>
            </w: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项目</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预算</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一、一般公共预算</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3,293.04</w:t>
            </w: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一、一般公共服务支出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2,718.95</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二、政府性基金预算</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二、外交支出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rPr>
                <w:lang w:eastAsia="zh-CN"/>
              </w:rPr>
            </w:pPr>
            <w:r>
              <w:rPr>
                <w:rFonts w:ascii="宋体" w:hAnsi="宋体" w:eastAsia="宋体" w:cs="宋体"/>
                <w:sz w:val="20"/>
                <w:lang w:eastAsia="zh-CN"/>
              </w:rPr>
              <w:t>三、国有资本经营预算</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rPr>
                <w:lang w:eastAsia="zh-CN"/>
              </w:rPr>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rPr>
                <w:lang w:eastAsia="zh-CN"/>
              </w:rP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三、国防支出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四、公共安全支出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五、教育支出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六、科学技术支出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七、文化旅游体育与传媒支出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八、社会保障和就业支出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377.88</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vAlign w:val="bottom"/>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九、卫生健康支出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49.35</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十、节能环保支出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十一、城乡社区支出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十二、农林水支出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十三、交通运输支出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十四、资源勘探工业信息等支出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十五、商业服务业等支出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十六、金融支出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jc w:val="center"/>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十七、援助其他地区支出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十八、自然资源海洋气象等支出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十九、住房保障支出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146.87</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二十、粮油物资储备支出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二十一、国有资本经营预算支出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rPr>
                <w:lang w:eastAsia="zh-CN"/>
              </w:rPr>
            </w:pPr>
            <w:r>
              <w:rPr>
                <w:rFonts w:ascii="宋体" w:hAnsi="宋体" w:eastAsia="宋体" w:cs="宋体"/>
                <w:sz w:val="20"/>
                <w:lang w:eastAsia="zh-CN"/>
              </w:rPr>
              <w:t>二十二、灾害防治及应急管理支出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rPr>
                <w:lang w:eastAsia="zh-CN"/>
              </w:rPr>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二十三、其他支出</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12" w:hRule="exac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本年收入合计</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658" w:type="dxa"/>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1431" w:type="dxa"/>
            <w:gridSpan w:val="2"/>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3,293.04</w:t>
            </w: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本年支出合计</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3,293.04</w:t>
            </w:r>
          </w:p>
        </w:tc>
      </w:tr>
      <w:tr>
        <w:tblPrEx>
          <w:tblLayout w:type="fixed"/>
          <w:tblCellMar>
            <w:top w:w="63" w:type="dxa"/>
            <w:left w:w="0" w:type="dxa"/>
            <w:bottom w:w="0" w:type="dxa"/>
            <w:right w:w="8" w:type="dxa"/>
          </w:tblCellMar>
        </w:tblPrEx>
        <w:trPr>
          <w:trHeight w:val="327" w:hRule="atLeast"/>
        </w:trPr>
        <w:tc>
          <w:tcPr>
            <w:tcW w:w="5463" w:type="dxa"/>
            <w:gridSpan w:val="2"/>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收入</w:t>
            </w:r>
          </w:p>
        </w:tc>
        <w:tc>
          <w:tcPr>
            <w:tcW w:w="1280" w:type="dxa"/>
            <w:gridSpan w:val="2"/>
            <w:tcBorders>
              <w:top w:val="single" w:color="000000" w:sz="6" w:space="0"/>
              <w:left w:val="nil"/>
              <w:bottom w:val="single" w:color="000000" w:sz="6" w:space="0"/>
              <w:right w:val="nil"/>
            </w:tcBorders>
          </w:tcPr>
          <w:p>
            <w:pPr>
              <w:spacing w:after="0" w:line="240" w:lineRule="auto"/>
              <w:ind w:left="141" w:leftChars="64" w:right="-77" w:firstLine="389" w:firstLineChars="177"/>
            </w:pP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3977" w:type="dxa"/>
            <w:gridSpan w:val="2"/>
            <w:tcBorders>
              <w:top w:val="single" w:color="000000" w:sz="6" w:space="0"/>
              <w:left w:val="nil"/>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支出</w:t>
            </w:r>
          </w:p>
        </w:tc>
      </w:tr>
      <w:tr>
        <w:tblPrEx>
          <w:tblLayout w:type="fixed"/>
          <w:tblCellMar>
            <w:top w:w="63" w:type="dxa"/>
            <w:left w:w="0" w:type="dxa"/>
            <w:bottom w:w="0" w:type="dxa"/>
            <w:right w:w="8" w:type="dxa"/>
          </w:tblCellMar>
        </w:tblPrEx>
        <w:trPr>
          <w:trHeight w:val="327" w:hRule="atLeas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280" w:type="dxa"/>
            <w:gridSpan w:val="2"/>
            <w:tcBorders>
              <w:top w:val="single" w:color="000000" w:sz="6" w:space="0"/>
              <w:left w:val="nil"/>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预算</w:t>
            </w: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项目</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预算</w:t>
            </w:r>
          </w:p>
        </w:tc>
      </w:tr>
      <w:tr>
        <w:tblPrEx>
          <w:tblLayout w:type="fixed"/>
          <w:tblCellMar>
            <w:top w:w="63" w:type="dxa"/>
            <w:left w:w="0" w:type="dxa"/>
            <w:bottom w:w="0" w:type="dxa"/>
            <w:right w:w="8" w:type="dxa"/>
          </w:tblCellMar>
        </w:tblPrEx>
        <w:trPr>
          <w:trHeight w:val="327" w:hRule="atLeas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280" w:type="dxa"/>
            <w:gridSpan w:val="2"/>
            <w:tcBorders>
              <w:top w:val="single" w:color="000000" w:sz="6" w:space="0"/>
              <w:left w:val="nil"/>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vAlign w:val="bottom"/>
          </w:tcPr>
          <w:p>
            <w:pPr>
              <w:spacing w:after="0" w:line="240" w:lineRule="auto"/>
              <w:jc w:val="center"/>
            </w:pP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pPr>
            <w:r>
              <w:rPr>
                <w:rFonts w:ascii="宋体" w:hAnsi="宋体" w:eastAsia="宋体" w:cs="宋体"/>
                <w:sz w:val="20"/>
              </w:rPr>
              <w:t>二十四、结转下年</w:t>
            </w:r>
          </w:p>
        </w:tc>
        <w:tc>
          <w:tcPr>
            <w:tcW w:w="200" w:type="dxa"/>
            <w:tcBorders>
              <w:top w:val="single" w:color="000000" w:sz="6" w:space="0"/>
              <w:left w:val="nil"/>
              <w:bottom w:val="single" w:color="000000" w:sz="6" w:space="0"/>
              <w:right w:val="single" w:color="000000" w:sz="6" w:space="0"/>
            </w:tcBorders>
            <w:vAlign w:val="bottom"/>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0.00</w:t>
            </w:r>
          </w:p>
        </w:tc>
      </w:tr>
      <w:tr>
        <w:tblPrEx>
          <w:tblLayout w:type="fixed"/>
          <w:tblCellMar>
            <w:top w:w="63" w:type="dxa"/>
            <w:left w:w="0" w:type="dxa"/>
            <w:bottom w:w="0" w:type="dxa"/>
            <w:right w:w="8" w:type="dxa"/>
          </w:tblCellMar>
        </w:tblPrEx>
        <w:trPr>
          <w:trHeight w:val="327" w:hRule="atLeast"/>
        </w:trPr>
        <w:tc>
          <w:tcPr>
            <w:tcW w:w="377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收入总计</w:t>
            </w:r>
          </w:p>
        </w:tc>
        <w:tc>
          <w:tcPr>
            <w:tcW w:w="1688"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1280" w:type="dxa"/>
            <w:gridSpan w:val="2"/>
            <w:tcBorders>
              <w:top w:val="single" w:color="000000" w:sz="6" w:space="0"/>
              <w:left w:val="nil"/>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3,293.04</w:t>
            </w:r>
          </w:p>
        </w:tc>
        <w:tc>
          <w:tcPr>
            <w:tcW w:w="357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支出总计</w:t>
            </w:r>
          </w:p>
        </w:tc>
        <w:tc>
          <w:tcPr>
            <w:tcW w:w="200"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77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3,293.04</w:t>
            </w:r>
          </w:p>
        </w:tc>
      </w:tr>
    </w:tbl>
    <w:p>
      <w:pPr>
        <w:spacing w:after="3"/>
        <w:ind w:left="141" w:leftChars="64" w:right="-77" w:firstLine="318" w:firstLineChars="177"/>
        <w:rPr>
          <w:lang w:eastAsia="zh-CN"/>
        </w:rPr>
      </w:pPr>
      <w:r>
        <w:rPr>
          <w:rFonts w:ascii="宋体" w:hAnsi="宋体" w:eastAsia="宋体" w:cs="宋体"/>
          <w:sz w:val="18"/>
          <w:lang w:eastAsia="zh-CN"/>
        </w:rPr>
        <w:t>注：表中功能分类科目，根据部门实际预算编制情况编列。</w:t>
      </w:r>
      <w:r>
        <w:rPr>
          <w:lang w:eastAsia="zh-CN"/>
        </w:rPr>
        <w:br w:type="page"/>
      </w:r>
    </w:p>
    <w:p>
      <w:pPr>
        <w:spacing w:after="236"/>
        <w:ind w:left="141" w:leftChars="64" w:right="-77" w:firstLine="424" w:firstLineChars="177"/>
        <w:jc w:val="right"/>
        <w:rPr>
          <w:lang w:eastAsia="zh-CN"/>
        </w:rPr>
      </w:pPr>
      <w:r>
        <w:rPr>
          <w:rFonts w:ascii="宋体" w:hAnsi="宋体" w:eastAsia="宋体" w:cs="宋体"/>
          <w:sz w:val="24"/>
          <w:lang w:eastAsia="zh-CN"/>
        </w:rPr>
        <w:t>表5</w:t>
      </w:r>
    </w:p>
    <w:p>
      <w:pPr>
        <w:pStyle w:val="4"/>
        <w:ind w:left="141" w:leftChars="64" w:right="-77" w:firstLine="460" w:firstLineChars="177"/>
        <w:rPr>
          <w:rFonts w:ascii="黑体" w:hAnsi="黑体" w:eastAsia="黑体"/>
          <w:lang w:eastAsia="zh-CN"/>
        </w:rPr>
      </w:pPr>
      <w:r>
        <w:rPr>
          <w:rFonts w:ascii="黑体" w:hAnsi="黑体" w:eastAsia="黑体"/>
          <w:lang w:eastAsia="zh-CN"/>
        </w:rPr>
        <w:t>一般公共预算支出情况表（按功能分类科目）</w:t>
      </w:r>
    </w:p>
    <w:p>
      <w:pPr>
        <w:tabs>
          <w:tab w:val="right" w:pos="15120"/>
        </w:tabs>
        <w:spacing w:after="0"/>
        <w:ind w:right="-77"/>
        <w:rPr>
          <w:rFonts w:hint="eastAsia" w:eastAsiaTheme="minorEastAsia"/>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0" w:type="dxa"/>
          <w:bottom w:w="0" w:type="dxa"/>
          <w:right w:w="7" w:type="dxa"/>
        </w:tblCellMar>
      </w:tblPr>
      <w:tblGrid>
        <w:gridCol w:w="4682"/>
        <w:gridCol w:w="2666"/>
        <w:gridCol w:w="809"/>
        <w:gridCol w:w="3474"/>
        <w:gridCol w:w="3474"/>
      </w:tblGrid>
      <w:tr>
        <w:tblPrEx>
          <w:tblLayout w:type="fixed"/>
          <w:tblCellMar>
            <w:top w:w="63" w:type="dxa"/>
            <w:left w:w="0" w:type="dxa"/>
            <w:bottom w:w="0" w:type="dxa"/>
            <w:right w:w="7" w:type="dxa"/>
          </w:tblCellMar>
        </w:tblPrEx>
        <w:trPr>
          <w:trHeight w:val="327" w:hRule="atLeast"/>
        </w:trPr>
        <w:tc>
          <w:tcPr>
            <w:tcW w:w="4682"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ind w:left="141" w:leftChars="64" w:right="-77" w:firstLine="354" w:firstLineChars="177"/>
              <w:jc w:val="center"/>
            </w:pPr>
            <w:r>
              <w:rPr>
                <w:rFonts w:ascii="宋体" w:hAnsi="宋体" w:eastAsia="宋体" w:cs="宋体"/>
                <w:sz w:val="20"/>
              </w:rPr>
              <w:t>功能科目名称</w:t>
            </w:r>
          </w:p>
        </w:tc>
        <w:tc>
          <w:tcPr>
            <w:tcW w:w="2666" w:type="dxa"/>
            <w:tcBorders>
              <w:top w:val="single" w:color="000000" w:sz="6" w:space="0"/>
              <w:left w:val="single" w:color="000000" w:sz="6" w:space="0"/>
              <w:bottom w:val="single" w:color="000000" w:sz="6" w:space="0"/>
              <w:right w:val="nil"/>
            </w:tcBorders>
          </w:tcPr>
          <w:p>
            <w:pPr>
              <w:spacing w:after="0" w:line="240" w:lineRule="auto"/>
              <w:ind w:left="141" w:leftChars="64" w:right="-77" w:firstLine="389" w:firstLineChars="177"/>
            </w:pPr>
          </w:p>
        </w:tc>
        <w:tc>
          <w:tcPr>
            <w:tcW w:w="4283" w:type="dxa"/>
            <w:gridSpan w:val="2"/>
            <w:tcBorders>
              <w:top w:val="single" w:color="000000" w:sz="6" w:space="0"/>
              <w:left w:val="nil"/>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一般公共预算支出</w:t>
            </w:r>
          </w:p>
        </w:tc>
        <w:tc>
          <w:tcPr>
            <w:tcW w:w="3474" w:type="dxa"/>
            <w:tcBorders>
              <w:top w:val="single" w:color="000000" w:sz="6" w:space="0"/>
              <w:left w:val="nil"/>
              <w:bottom w:val="single" w:color="000000" w:sz="6" w:space="0"/>
              <w:right w:val="single" w:color="000000" w:sz="6" w:space="0"/>
            </w:tcBorders>
            <w:vAlign w:val="bottom"/>
          </w:tcPr>
          <w:p>
            <w:pPr>
              <w:spacing w:after="0" w:line="240" w:lineRule="auto"/>
              <w:ind w:left="141" w:leftChars="64" w:right="-77" w:firstLine="389" w:firstLineChars="177"/>
            </w:pPr>
          </w:p>
        </w:tc>
      </w:tr>
      <w:tr>
        <w:tblPrEx>
          <w:tblLayout w:type="fixed"/>
          <w:tblCellMar>
            <w:top w:w="63" w:type="dxa"/>
            <w:left w:w="0" w:type="dxa"/>
            <w:bottom w:w="0" w:type="dxa"/>
            <w:right w:w="7" w:type="dxa"/>
          </w:tblCellMar>
        </w:tblPrEx>
        <w:trPr>
          <w:trHeight w:val="327" w:hRule="atLeast"/>
        </w:trPr>
        <w:tc>
          <w:tcPr>
            <w:tcW w:w="4682" w:type="dxa"/>
            <w:vMerge w:val="continue"/>
            <w:tcBorders>
              <w:top w:val="nil"/>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2666" w:type="dxa"/>
            <w:tcBorders>
              <w:top w:val="single" w:color="000000" w:sz="6" w:space="0"/>
              <w:left w:val="single" w:color="000000" w:sz="6" w:space="0"/>
              <w:bottom w:val="single" w:color="000000" w:sz="6" w:space="0"/>
              <w:right w:val="nil"/>
            </w:tcBorders>
          </w:tcPr>
          <w:p>
            <w:pPr>
              <w:spacing w:after="0" w:line="240" w:lineRule="auto"/>
              <w:ind w:left="141" w:leftChars="64" w:right="-77" w:firstLine="354" w:firstLineChars="177"/>
              <w:jc w:val="center"/>
            </w:pPr>
            <w:r>
              <w:rPr>
                <w:rFonts w:ascii="宋体" w:hAnsi="宋体" w:eastAsia="宋体" w:cs="宋体"/>
                <w:sz w:val="20"/>
              </w:rPr>
              <w:t>小计</w:t>
            </w:r>
          </w:p>
        </w:tc>
        <w:tc>
          <w:tcPr>
            <w:tcW w:w="809" w:type="dxa"/>
            <w:tcBorders>
              <w:top w:val="single" w:color="000000" w:sz="6" w:space="0"/>
              <w:left w:val="nil"/>
              <w:bottom w:val="single" w:color="000000" w:sz="6" w:space="0"/>
              <w:right w:val="single" w:color="000000" w:sz="6" w:space="0"/>
            </w:tcBorders>
          </w:tcPr>
          <w:p>
            <w:pPr>
              <w:spacing w:after="0" w:line="240" w:lineRule="auto"/>
              <w:ind w:left="141" w:leftChars="64" w:right="-77" w:firstLine="389" w:firstLineChars="177"/>
            </w:pP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其中：基本支出</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项目支出</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合计</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3,293.04</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2,378.04</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[201]一般公共服务支出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2,718.95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1,803.95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[20111]纪检监察事务</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2,718.95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1,803.95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[2011101]行政运行</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2,258.95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1,803.95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455.00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[2011199]其他纪检监察事务支出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rPr>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460.00</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460.00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[208]社会保障和就业支出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377.88</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377.88</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[20805]行政事业单位养老支出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rPr>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377.88</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377.88</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[2080501]行政单位离退休</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34.91</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34.91</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jc w:val="both"/>
              <w:rPr>
                <w:lang w:eastAsia="zh-CN"/>
              </w:rPr>
            </w:pPr>
            <w:r>
              <w:rPr>
                <w:rFonts w:ascii="宋体" w:hAnsi="宋体" w:eastAsia="宋体" w:cs="宋体"/>
                <w:sz w:val="20"/>
                <w:lang w:eastAsia="zh-CN"/>
              </w:rPr>
              <w:t>　　[2080505]机关事业单位基本养老保险缴费支出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rPr>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228.65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228.65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[2080506]机关事业单位职业年金缴费支出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rPr>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114.32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114.32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[210]卫生健康支出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49.35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49.35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[21011]行政事业单位医疗</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49.35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49.35</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[2101101]行政单位医疗</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48.02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48.02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[2101199]其他行政事业单位医疗支出</w:t>
            </w:r>
          </w:p>
        </w:tc>
        <w:tc>
          <w:tcPr>
            <w:tcW w:w="2666" w:type="dxa"/>
            <w:tcBorders>
              <w:top w:val="single" w:color="000000" w:sz="6" w:space="0"/>
              <w:left w:val="single" w:color="000000" w:sz="6" w:space="0"/>
              <w:bottom w:val="single" w:color="000000" w:sz="6" w:space="0"/>
              <w:right w:val="nil"/>
            </w:tcBorders>
            <w:vAlign w:val="bottom"/>
          </w:tcPr>
          <w:p>
            <w:pPr>
              <w:spacing w:after="0" w:line="240" w:lineRule="auto"/>
              <w:jc w:val="center"/>
              <w:rPr>
                <w:lang w:eastAsia="zh-CN"/>
              </w:rP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1.32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1.32</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[221]住房保障支出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[22102]住房改革支出</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0" w:type="dxa"/>
            <w:bottom w:w="0" w:type="dxa"/>
            <w:right w:w="7" w:type="dxa"/>
          </w:tblCellMar>
        </w:tblPrEx>
        <w:trPr>
          <w:trHeight w:val="327" w:hRule="atLeast"/>
        </w:trPr>
        <w:tc>
          <w:tcPr>
            <w:tcW w:w="4682"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[2210201]住房公积金</w:t>
            </w:r>
          </w:p>
        </w:tc>
        <w:tc>
          <w:tcPr>
            <w:tcW w:w="2666" w:type="dxa"/>
            <w:tcBorders>
              <w:top w:val="single" w:color="000000" w:sz="6" w:space="0"/>
              <w:left w:val="single" w:color="000000" w:sz="6" w:space="0"/>
              <w:bottom w:val="single" w:color="000000" w:sz="6" w:space="0"/>
              <w:right w:val="nil"/>
            </w:tcBorders>
          </w:tcPr>
          <w:p>
            <w:pPr>
              <w:spacing w:after="0" w:line="240" w:lineRule="auto"/>
              <w:jc w:val="center"/>
            </w:pPr>
          </w:p>
        </w:tc>
        <w:tc>
          <w:tcPr>
            <w:tcW w:w="809"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347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注：本表反映本部门一般公共预算支出情况。</w:t>
      </w:r>
    </w:p>
    <w:p>
      <w:pPr>
        <w:ind w:left="141" w:leftChars="64" w:right="-77" w:firstLine="389" w:firstLineChars="177"/>
        <w:rPr>
          <w:lang w:eastAsia="zh-CN"/>
        </w:rPr>
        <w:sectPr>
          <w:headerReference r:id="rId5" w:type="first"/>
          <w:footerReference r:id="rId8" w:type="first"/>
          <w:headerReference r:id="rId3" w:type="default"/>
          <w:footerReference r:id="rId6" w:type="default"/>
          <w:headerReference r:id="rId4" w:type="even"/>
          <w:footerReference r:id="rId7" w:type="even"/>
          <w:pgSz w:w="16838" w:h="11906" w:orient="landscape"/>
          <w:pgMar w:top="728" w:right="878" w:bottom="856" w:left="840" w:header="720" w:footer="190" w:gutter="0"/>
          <w:pgNumType w:start="3"/>
          <w:cols w:space="720" w:num="1"/>
          <w:titlePg/>
        </w:sectPr>
      </w:pPr>
    </w:p>
    <w:p>
      <w:pPr>
        <w:spacing w:after="236"/>
        <w:ind w:left="141" w:leftChars="64" w:right="-77" w:firstLine="424" w:firstLineChars="177"/>
        <w:jc w:val="right"/>
        <w:rPr>
          <w:lang w:eastAsia="zh-CN"/>
        </w:rPr>
      </w:pPr>
      <w:r>
        <w:rPr>
          <w:rFonts w:ascii="宋体" w:hAnsi="宋体" w:eastAsia="宋体" w:cs="宋体"/>
          <w:sz w:val="24"/>
          <w:lang w:eastAsia="zh-CN"/>
        </w:rPr>
        <w:t>表6</w:t>
      </w:r>
    </w:p>
    <w:p>
      <w:pPr>
        <w:pStyle w:val="4"/>
        <w:tabs>
          <w:tab w:val="left" w:pos="3850"/>
          <w:tab w:val="center" w:pos="7899"/>
        </w:tabs>
        <w:ind w:left="141" w:leftChars="64" w:right="-77" w:firstLine="460" w:firstLineChars="177"/>
        <w:jc w:val="left"/>
        <w:rPr>
          <w:lang w:eastAsia="zh-CN"/>
        </w:rPr>
      </w:pPr>
      <w:r>
        <w:rPr>
          <w:lang w:eastAsia="zh-CN"/>
        </w:rPr>
        <w:tab/>
      </w:r>
      <w:r>
        <w:rPr>
          <w:lang w:eastAsia="zh-CN"/>
        </w:rPr>
        <w:tab/>
      </w:r>
      <w:r>
        <w:rPr>
          <w:lang w:eastAsia="zh-CN"/>
        </w:rPr>
        <w:t>一般公共预算基本支出情况表（按经济分类科目）</w:t>
      </w:r>
    </w:p>
    <w:p>
      <w:pPr>
        <w:tabs>
          <w:tab w:val="right" w:pos="15120"/>
        </w:tabs>
        <w:spacing w:after="0"/>
        <w:rPr>
          <w:rFonts w:hint="eastAsia" w:eastAsiaTheme="minorEastAsia"/>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108" w:type="dxa"/>
          <w:bottom w:w="0" w:type="dxa"/>
          <w:right w:w="8" w:type="dxa"/>
        </w:tblCellMar>
      </w:tblPr>
      <w:tblGrid>
        <w:gridCol w:w="7553"/>
        <w:gridCol w:w="7552"/>
      </w:tblGrid>
      <w:tr>
        <w:tblPrEx>
          <w:tblLayout w:type="fixed"/>
          <w:tblCellMar>
            <w:top w:w="63" w:type="dxa"/>
            <w:left w:w="108" w:type="dxa"/>
            <w:bottom w:w="0" w:type="dxa"/>
            <w:right w:w="8" w:type="dxa"/>
          </w:tblCellMar>
        </w:tblPrEx>
        <w:trPr>
          <w:trHeight w:val="340"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rPr>
                <w:lang w:eastAsia="zh-CN"/>
              </w:rPr>
            </w:pPr>
            <w:r>
              <w:rPr>
                <w:rFonts w:ascii="宋体" w:hAnsi="宋体" w:eastAsia="宋体" w:cs="宋体"/>
                <w:sz w:val="20"/>
                <w:lang w:eastAsia="zh-CN"/>
              </w:rPr>
              <w:t>部门预算支出经济科目</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预算</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合计</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2,378.04</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[301]工资福利支出</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2,176.55</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[30101]基本工资</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588.31</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[30102]津贴补贴</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692.70</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[30103]奖金</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226.60</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[30107]绩效工资</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46.77</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[30108]机关事业单位基本养老保险缴费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228.65</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[30109]职业年金缴费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114.32</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[30110]职工基本医疗保险缴费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48.02</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[30112]其他社会保障缴费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1.32</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[30113]住房公积金</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146.87</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[30199]其他工资福利支出</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83.00</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[302]商品和服务支出</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166.58</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[30201]办公费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52.20</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[30228]工会经费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19.23</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[30229]福利费</w:t>
            </w:r>
          </w:p>
          <w:p/>
          <w:p/>
          <w:p>
            <w:pPr>
              <w:tabs>
                <w:tab w:val="left" w:pos="6245"/>
              </w:tabs>
            </w:pPr>
            <w:r>
              <w:tab/>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2.44</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[30231]公务用车运行维护费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11.00</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[30239]其他交通费用</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81.72</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[303]对个人和家庭的补助</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34.91</w:t>
            </w:r>
          </w:p>
        </w:tc>
      </w:tr>
      <w:tr>
        <w:tblPrEx>
          <w:tblLayout w:type="fixed"/>
          <w:tblCellMar>
            <w:top w:w="63" w:type="dxa"/>
            <w:left w:w="108" w:type="dxa"/>
            <w:bottom w:w="0" w:type="dxa"/>
            <w:right w:w="8" w:type="dxa"/>
          </w:tblCellMar>
        </w:tblPrEx>
        <w:trPr>
          <w:trHeight w:val="369" w:hRule="exac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[30302]退休费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34.91</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注：本表反映本部门一般公共预算基本支出情况。</w:t>
      </w:r>
      <w:bookmarkStart w:id="0" w:name="_GoBack"/>
      <w:bookmarkEnd w:id="0"/>
    </w:p>
    <w:p>
      <w:pPr>
        <w:spacing w:after="236"/>
        <w:ind w:left="141" w:leftChars="64" w:right="-77" w:firstLine="424" w:firstLineChars="177"/>
        <w:jc w:val="right"/>
        <w:rPr>
          <w:rFonts w:ascii="宋体" w:hAnsi="宋体" w:eastAsia="宋体" w:cs="宋体"/>
          <w:sz w:val="24"/>
          <w:lang w:eastAsia="zh-CN"/>
        </w:rPr>
      </w:pPr>
    </w:p>
    <w:p>
      <w:pPr>
        <w:spacing w:after="236"/>
        <w:ind w:left="141" w:leftChars="64" w:right="-77" w:firstLine="424" w:firstLineChars="177"/>
        <w:jc w:val="right"/>
        <w:rPr>
          <w:lang w:eastAsia="zh-CN"/>
        </w:rPr>
      </w:pPr>
      <w:r>
        <w:rPr>
          <w:rFonts w:ascii="宋体" w:hAnsi="宋体" w:eastAsia="宋体" w:cs="宋体"/>
          <w:sz w:val="24"/>
          <w:lang w:eastAsia="zh-CN"/>
        </w:rPr>
        <w:t>表7</w:t>
      </w:r>
    </w:p>
    <w:p>
      <w:pPr>
        <w:pStyle w:val="4"/>
        <w:ind w:left="141" w:leftChars="64" w:right="-77" w:firstLine="460" w:firstLineChars="177"/>
        <w:rPr>
          <w:lang w:eastAsia="zh-CN"/>
        </w:rPr>
      </w:pPr>
      <w:r>
        <w:rPr>
          <w:lang w:eastAsia="zh-CN"/>
        </w:rPr>
        <w:t>一般公共预算项目支出情况表（按经济分类科目）</w:t>
      </w:r>
    </w:p>
    <w:p>
      <w:pPr>
        <w:tabs>
          <w:tab w:val="right" w:pos="15120"/>
        </w:tabs>
        <w:spacing w:after="0"/>
        <w:rPr>
          <w:rFonts w:hint="eastAsia" w:eastAsiaTheme="minorEastAsia"/>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tbl>
      <w:tblPr>
        <w:tblStyle w:val="12"/>
        <w:tblW w:w="15105" w:type="dxa"/>
        <w:tblInd w:w="8" w:type="dxa"/>
        <w:tblLayout w:type="fixed"/>
        <w:tblCellMar>
          <w:top w:w="63" w:type="dxa"/>
          <w:left w:w="108" w:type="dxa"/>
          <w:bottom w:w="0" w:type="dxa"/>
          <w:right w:w="8" w:type="dxa"/>
        </w:tblCellMar>
      </w:tblPr>
      <w:tblGrid>
        <w:gridCol w:w="7553"/>
        <w:gridCol w:w="7552"/>
      </w:tblGrid>
      <w:tr>
        <w:tblPrEx>
          <w:tblLayout w:type="fixed"/>
          <w:tblCellMar>
            <w:top w:w="63" w:type="dxa"/>
            <w:left w:w="108" w:type="dxa"/>
            <w:bottom w:w="0" w:type="dxa"/>
            <w:right w:w="8" w:type="dxa"/>
          </w:tblCellMar>
        </w:tblPrEx>
        <w:trPr>
          <w:trHeight w:val="327" w:hRule="atLeas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rPr>
                <w:lang w:eastAsia="zh-CN"/>
              </w:rPr>
            </w:pPr>
            <w:r>
              <w:rPr>
                <w:rFonts w:ascii="宋体" w:hAnsi="宋体" w:eastAsia="宋体" w:cs="宋体"/>
                <w:sz w:val="20"/>
                <w:lang w:eastAsia="zh-CN"/>
              </w:rPr>
              <w:t>部门预算支出经济科目</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预算</w:t>
            </w:r>
          </w:p>
        </w:tc>
      </w:tr>
      <w:tr>
        <w:tblPrEx>
          <w:tblLayout w:type="fixed"/>
          <w:tblCellMar>
            <w:top w:w="63" w:type="dxa"/>
            <w:left w:w="108" w:type="dxa"/>
            <w:bottom w:w="0" w:type="dxa"/>
            <w:right w:w="8" w:type="dxa"/>
          </w:tblCellMar>
        </w:tblPrEx>
        <w:trPr>
          <w:trHeight w:val="327" w:hRule="atLeas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合计</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915.00</w:t>
            </w:r>
          </w:p>
        </w:tc>
      </w:tr>
      <w:tr>
        <w:tblPrEx>
          <w:tblLayout w:type="fixed"/>
          <w:tblCellMar>
            <w:top w:w="63" w:type="dxa"/>
            <w:left w:w="108" w:type="dxa"/>
            <w:bottom w:w="0" w:type="dxa"/>
            <w:right w:w="8" w:type="dxa"/>
          </w:tblCellMar>
        </w:tblPrEx>
        <w:trPr>
          <w:trHeight w:val="327" w:hRule="atLeas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[302]商品和服务支出</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915.00</w:t>
            </w:r>
          </w:p>
        </w:tc>
      </w:tr>
      <w:tr>
        <w:tblPrEx>
          <w:tblLayout w:type="fixed"/>
          <w:tblCellMar>
            <w:top w:w="63" w:type="dxa"/>
            <w:left w:w="108" w:type="dxa"/>
            <w:bottom w:w="0" w:type="dxa"/>
            <w:right w:w="8" w:type="dxa"/>
          </w:tblCellMar>
        </w:tblPrEx>
        <w:trPr>
          <w:trHeight w:val="327" w:hRule="atLeas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　[30201]办公费</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855.00</w:t>
            </w:r>
          </w:p>
        </w:tc>
      </w:tr>
      <w:tr>
        <w:tblPrEx>
          <w:tblLayout w:type="fixed"/>
          <w:tblCellMar>
            <w:top w:w="63" w:type="dxa"/>
            <w:left w:w="108" w:type="dxa"/>
            <w:bottom w:w="0" w:type="dxa"/>
            <w:right w:w="8" w:type="dxa"/>
          </w:tblCellMar>
        </w:tblPrEx>
        <w:trPr>
          <w:trHeight w:val="327" w:hRule="atLeast"/>
        </w:trPr>
        <w:tc>
          <w:tcPr>
            <w:tcW w:w="7553"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[30299]其他商品和服务支出</w:t>
            </w:r>
          </w:p>
        </w:tc>
        <w:tc>
          <w:tcPr>
            <w:tcW w:w="7552"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60.00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注：本表反映本部门一般公共预算项目支出情况。</w:t>
      </w:r>
      <w:r>
        <w:rPr>
          <w:lang w:eastAsia="zh-CN"/>
        </w:rPr>
        <w:br w:type="page"/>
      </w:r>
    </w:p>
    <w:p>
      <w:pPr>
        <w:spacing w:after="236"/>
        <w:ind w:left="141" w:leftChars="64" w:right="-77" w:firstLine="424" w:firstLineChars="177"/>
        <w:jc w:val="right"/>
        <w:rPr>
          <w:lang w:eastAsia="zh-CN"/>
        </w:rPr>
      </w:pPr>
      <w:r>
        <w:rPr>
          <w:rFonts w:ascii="宋体" w:hAnsi="宋体" w:eastAsia="宋体" w:cs="宋体"/>
          <w:sz w:val="24"/>
          <w:lang w:eastAsia="zh-CN"/>
        </w:rPr>
        <w:t>表8</w:t>
      </w:r>
    </w:p>
    <w:p>
      <w:pPr>
        <w:pStyle w:val="4"/>
        <w:tabs>
          <w:tab w:val="center" w:pos="7899"/>
          <w:tab w:val="left" w:pos="11092"/>
        </w:tabs>
        <w:ind w:left="141" w:leftChars="64" w:right="-77" w:firstLine="460" w:firstLineChars="177"/>
        <w:jc w:val="left"/>
        <w:rPr>
          <w:lang w:eastAsia="zh-CN"/>
        </w:rPr>
      </w:pPr>
      <w:r>
        <w:rPr>
          <w:lang w:eastAsia="zh-CN"/>
        </w:rPr>
        <w:tab/>
      </w:r>
      <w:r>
        <w:rPr>
          <w:lang w:eastAsia="zh-CN"/>
        </w:rPr>
        <w:t>财政拨款安排的行政经费及“三公”经费预算表</w:t>
      </w:r>
      <w:r>
        <w:rPr>
          <w:lang w:eastAsia="zh-CN"/>
        </w:rPr>
        <w:tab/>
      </w:r>
    </w:p>
    <w:p>
      <w:pPr>
        <w:rPr>
          <w:rFonts w:hint="eastAsia" w:eastAsiaTheme="minorEastAsia"/>
          <w:lang w:eastAsia="zh-CN"/>
        </w:rPr>
      </w:pPr>
    </w:p>
    <w:p>
      <w:pPr>
        <w:tabs>
          <w:tab w:val="right" w:pos="15120"/>
        </w:tabs>
        <w:spacing w:after="0"/>
        <w:rPr>
          <w:rFonts w:hint="eastAsia" w:eastAsiaTheme="minorEastAsia"/>
          <w:lang w:eastAsia="zh-CN"/>
        </w:rPr>
      </w:pPr>
      <w:r>
        <w:rPr>
          <w:rFonts w:ascii="宋体" w:hAnsi="宋体" w:eastAsia="宋体" w:cs="宋体"/>
          <w:sz w:val="24"/>
          <w:lang w:eastAsia="zh-CN"/>
        </w:rPr>
        <w:t>单位名称：中共普宁市纪律检查委员会办公室                                                                          单位：万元</w:t>
      </w:r>
    </w:p>
    <w:tbl>
      <w:tblPr>
        <w:tblStyle w:val="12"/>
        <w:tblW w:w="15105" w:type="dxa"/>
        <w:tblInd w:w="8" w:type="dxa"/>
        <w:tblLayout w:type="fixed"/>
        <w:tblCellMar>
          <w:top w:w="63" w:type="dxa"/>
          <w:left w:w="108" w:type="dxa"/>
          <w:bottom w:w="0" w:type="dxa"/>
          <w:right w:w="7" w:type="dxa"/>
        </w:tblCellMar>
      </w:tblPr>
      <w:tblGrid>
        <w:gridCol w:w="6344"/>
        <w:gridCol w:w="2115"/>
        <w:gridCol w:w="2115"/>
        <w:gridCol w:w="2114"/>
        <w:gridCol w:w="2417"/>
      </w:tblGrid>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项目</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合计</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一般公共预算</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pPr>
            <w:r>
              <w:rPr>
                <w:rFonts w:ascii="宋体" w:hAnsi="宋体" w:eastAsia="宋体" w:cs="宋体"/>
                <w:sz w:val="20"/>
              </w:rPr>
              <w:t>政府性基金预算</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国有资本经营预算</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行政经费</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1,002.36</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1,002.36</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“三公”经费</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其中：（一）因公出国（境）支出</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（二）公务用车购置及运行维护支出</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1.公务用车购置费</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2.公务用车运行维护费</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108" w:type="dxa"/>
            <w:bottom w:w="0" w:type="dxa"/>
            <w:right w:w="7" w:type="dxa"/>
          </w:tblCellMar>
        </w:tblPrEx>
        <w:trPr>
          <w:trHeight w:val="327" w:hRule="atLeast"/>
        </w:trPr>
        <w:tc>
          <w:tcPr>
            <w:tcW w:w="6344" w:type="dxa"/>
            <w:tcBorders>
              <w:top w:val="single" w:color="000000" w:sz="6" w:space="0"/>
              <w:left w:val="single" w:color="000000" w:sz="6" w:space="0"/>
              <w:bottom w:val="single" w:color="000000" w:sz="6" w:space="0"/>
              <w:right w:val="single" w:color="000000" w:sz="6" w:space="0"/>
            </w:tcBorders>
          </w:tcPr>
          <w:p>
            <w:pPr>
              <w:spacing w:after="0" w:line="240" w:lineRule="auto"/>
              <w:rPr>
                <w:lang w:eastAsia="zh-CN"/>
              </w:rPr>
            </w:pPr>
            <w:r>
              <w:rPr>
                <w:rFonts w:ascii="宋体" w:hAnsi="宋体" w:eastAsia="宋体" w:cs="宋体"/>
                <w:sz w:val="20"/>
                <w:lang w:eastAsia="zh-CN"/>
              </w:rPr>
              <w:t>　　　　　（三）公务接待费支出</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11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417"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注：本表反映本部门行政经费及“三公”经费情况。</w:t>
      </w:r>
      <w:r>
        <w:rPr>
          <w:lang w:eastAsia="zh-CN"/>
        </w:rPr>
        <w:br w:type="page"/>
      </w:r>
    </w:p>
    <w:p>
      <w:pPr>
        <w:spacing w:after="236"/>
        <w:ind w:left="141" w:leftChars="64" w:right="-77" w:firstLine="424" w:firstLineChars="177"/>
        <w:jc w:val="right"/>
        <w:rPr>
          <w:lang w:eastAsia="zh-CN"/>
        </w:rPr>
      </w:pPr>
      <w:r>
        <w:rPr>
          <w:rFonts w:ascii="宋体" w:hAnsi="宋体" w:eastAsia="宋体" w:cs="宋体"/>
          <w:sz w:val="24"/>
          <w:lang w:eastAsia="zh-CN"/>
        </w:rPr>
        <w:t>表9</w:t>
      </w:r>
    </w:p>
    <w:p>
      <w:pPr>
        <w:pStyle w:val="4"/>
        <w:ind w:left="141" w:leftChars="64" w:right="-77" w:firstLine="460" w:firstLineChars="177"/>
        <w:rPr>
          <w:rFonts w:ascii="黑体" w:hAnsi="黑体" w:eastAsia="黑体"/>
          <w:lang w:eastAsia="zh-CN"/>
        </w:rPr>
      </w:pPr>
      <w:r>
        <w:rPr>
          <w:rFonts w:ascii="黑体" w:hAnsi="黑体" w:eastAsia="黑体"/>
          <w:lang w:eastAsia="zh-CN"/>
        </w:rPr>
        <w:t>政府性基金预算支出情况表</w:t>
      </w:r>
    </w:p>
    <w:p>
      <w:pPr>
        <w:rPr>
          <w:rFonts w:hint="eastAsia" w:eastAsiaTheme="minorEastAsia"/>
          <w:lang w:eastAsia="zh-CN"/>
        </w:rPr>
      </w:pPr>
      <w:r>
        <w:rPr>
          <w:rFonts w:ascii="宋体" w:hAnsi="宋体" w:eastAsia="宋体" w:cs="宋体"/>
          <w:sz w:val="24"/>
          <w:lang w:eastAsia="zh-CN"/>
        </w:rPr>
        <w:t>单位名称：中共普宁市纪律检查委员会办公室                                                                          单位：万元</w:t>
      </w:r>
    </w:p>
    <w:tbl>
      <w:tblPr>
        <w:tblStyle w:val="12"/>
        <w:tblW w:w="15105" w:type="dxa"/>
        <w:tblInd w:w="8" w:type="dxa"/>
        <w:tblLayout w:type="fixed"/>
        <w:tblCellMar>
          <w:top w:w="63" w:type="dxa"/>
          <w:left w:w="0" w:type="dxa"/>
          <w:bottom w:w="0" w:type="dxa"/>
          <w:right w:w="8" w:type="dxa"/>
        </w:tblCellMar>
      </w:tblPr>
      <w:tblGrid>
        <w:gridCol w:w="2718"/>
        <w:gridCol w:w="1712"/>
        <w:gridCol w:w="2513"/>
        <w:gridCol w:w="2308"/>
        <w:gridCol w:w="422"/>
        <w:gridCol w:w="2716"/>
        <w:gridCol w:w="2716"/>
      </w:tblGrid>
      <w:tr>
        <w:tblPrEx>
          <w:tblLayout w:type="fixed"/>
          <w:tblCellMar>
            <w:top w:w="63" w:type="dxa"/>
            <w:left w:w="0" w:type="dxa"/>
            <w:bottom w:w="0" w:type="dxa"/>
            <w:right w:w="8" w:type="dxa"/>
          </w:tblCellMar>
        </w:tblPrEx>
        <w:trPr>
          <w:trHeight w:val="327" w:hRule="atLeast"/>
        </w:trPr>
        <w:tc>
          <w:tcPr>
            <w:tcW w:w="4430" w:type="dxa"/>
            <w:gridSpan w:val="2"/>
            <w:tcBorders>
              <w:top w:val="single" w:color="000000" w:sz="6" w:space="0"/>
              <w:left w:val="single" w:color="000000" w:sz="6" w:space="0"/>
              <w:bottom w:val="single" w:color="000000" w:sz="6" w:space="0"/>
              <w:right w:val="nil"/>
            </w:tcBorders>
          </w:tcPr>
          <w:p>
            <w:pPr>
              <w:spacing w:after="0" w:line="240" w:lineRule="auto"/>
              <w:jc w:val="right"/>
            </w:pPr>
            <w:r>
              <w:rPr>
                <w:rFonts w:ascii="宋体" w:hAnsi="宋体" w:eastAsia="宋体" w:cs="宋体"/>
                <w:sz w:val="20"/>
              </w:rPr>
              <w:t>功能分类科目</w:t>
            </w:r>
          </w:p>
        </w:tc>
        <w:tc>
          <w:tcPr>
            <w:tcW w:w="2513" w:type="dxa"/>
            <w:tcBorders>
              <w:top w:val="single" w:color="000000" w:sz="6" w:space="0"/>
              <w:left w:val="nil"/>
              <w:bottom w:val="single" w:color="000000" w:sz="6" w:space="0"/>
              <w:right w:val="single" w:color="000000" w:sz="6" w:space="0"/>
            </w:tcBorders>
          </w:tcPr>
          <w:p>
            <w:pPr>
              <w:spacing w:after="0" w:line="240" w:lineRule="auto"/>
            </w:pPr>
          </w:p>
        </w:tc>
        <w:tc>
          <w:tcPr>
            <w:tcW w:w="2308" w:type="dxa"/>
            <w:tcBorders>
              <w:top w:val="single" w:color="000000" w:sz="6" w:space="0"/>
              <w:left w:val="single" w:color="000000" w:sz="6" w:space="0"/>
              <w:bottom w:val="single" w:color="000000" w:sz="6" w:space="0"/>
              <w:right w:val="nil"/>
            </w:tcBorders>
          </w:tcPr>
          <w:p>
            <w:pPr>
              <w:spacing w:after="0" w:line="240" w:lineRule="auto"/>
            </w:pPr>
          </w:p>
        </w:tc>
        <w:tc>
          <w:tcPr>
            <w:tcW w:w="422" w:type="dxa"/>
            <w:tcBorders>
              <w:top w:val="single" w:color="000000" w:sz="6" w:space="0"/>
              <w:left w:val="nil"/>
              <w:bottom w:val="single" w:color="000000" w:sz="6" w:space="0"/>
              <w:right w:val="nil"/>
            </w:tcBorders>
          </w:tcPr>
          <w:p>
            <w:pPr>
              <w:spacing w:after="0" w:line="240" w:lineRule="auto"/>
            </w:pPr>
          </w:p>
        </w:tc>
        <w:tc>
          <w:tcPr>
            <w:tcW w:w="2716" w:type="dxa"/>
            <w:tcBorders>
              <w:top w:val="single" w:color="000000" w:sz="6" w:space="0"/>
              <w:left w:val="nil"/>
              <w:bottom w:val="single" w:color="000000" w:sz="6" w:space="0"/>
              <w:right w:val="nil"/>
            </w:tcBorders>
          </w:tcPr>
          <w:p>
            <w:pPr>
              <w:spacing w:after="0" w:line="240" w:lineRule="auto"/>
              <w:jc w:val="center"/>
            </w:pPr>
            <w:r>
              <w:rPr>
                <w:rFonts w:ascii="宋体" w:hAnsi="宋体" w:eastAsia="宋体" w:cs="宋体"/>
                <w:sz w:val="20"/>
              </w:rPr>
              <w:t>政府性基金预算支出</w:t>
            </w:r>
          </w:p>
        </w:tc>
        <w:tc>
          <w:tcPr>
            <w:tcW w:w="2716" w:type="dxa"/>
            <w:tcBorders>
              <w:top w:val="single" w:color="000000" w:sz="6" w:space="0"/>
              <w:left w:val="nil"/>
              <w:bottom w:val="single" w:color="000000" w:sz="6" w:space="0"/>
              <w:right w:val="single" w:color="000000" w:sz="6" w:space="0"/>
            </w:tcBorders>
          </w:tcPr>
          <w:p>
            <w:pPr>
              <w:spacing w:after="0" w:line="240" w:lineRule="auto"/>
            </w:pPr>
          </w:p>
        </w:tc>
      </w:tr>
      <w:tr>
        <w:tblPrEx>
          <w:tblLayout w:type="fixed"/>
          <w:tblCellMar>
            <w:top w:w="63" w:type="dxa"/>
            <w:left w:w="0" w:type="dxa"/>
            <w:bottom w:w="0" w:type="dxa"/>
            <w:right w:w="8" w:type="dxa"/>
          </w:tblCellMar>
        </w:tblPrEx>
        <w:trPr>
          <w:trHeight w:val="327" w:hRule="atLeast"/>
        </w:trPr>
        <w:tc>
          <w:tcPr>
            <w:tcW w:w="271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科目编码</w:t>
            </w:r>
          </w:p>
        </w:tc>
        <w:tc>
          <w:tcPr>
            <w:tcW w:w="1712" w:type="dxa"/>
            <w:tcBorders>
              <w:top w:val="single" w:color="000000" w:sz="6" w:space="0"/>
              <w:left w:val="single" w:color="000000" w:sz="6" w:space="0"/>
              <w:bottom w:val="single" w:color="000000" w:sz="6" w:space="0"/>
              <w:right w:val="nil"/>
            </w:tcBorders>
          </w:tcPr>
          <w:p>
            <w:pPr>
              <w:spacing w:after="0" w:line="240" w:lineRule="auto"/>
            </w:pPr>
          </w:p>
        </w:tc>
        <w:tc>
          <w:tcPr>
            <w:tcW w:w="2513" w:type="dxa"/>
            <w:tcBorders>
              <w:top w:val="single" w:color="000000" w:sz="6" w:space="0"/>
              <w:left w:val="nil"/>
              <w:bottom w:val="single" w:color="000000" w:sz="6" w:space="0"/>
              <w:right w:val="single" w:color="000000" w:sz="6" w:space="0"/>
            </w:tcBorders>
          </w:tcPr>
          <w:p>
            <w:pPr>
              <w:spacing w:after="0" w:line="240" w:lineRule="auto"/>
            </w:pPr>
            <w:r>
              <w:rPr>
                <w:rFonts w:ascii="宋体" w:hAnsi="宋体" w:eastAsia="宋体" w:cs="宋体"/>
                <w:sz w:val="20"/>
              </w:rPr>
              <w:t>科目名称</w:t>
            </w:r>
          </w:p>
        </w:tc>
        <w:tc>
          <w:tcPr>
            <w:tcW w:w="2308" w:type="dxa"/>
            <w:tcBorders>
              <w:top w:val="single" w:color="000000" w:sz="6" w:space="0"/>
              <w:left w:val="single" w:color="000000" w:sz="6" w:space="0"/>
              <w:bottom w:val="single" w:color="000000" w:sz="6" w:space="0"/>
              <w:right w:val="nil"/>
            </w:tcBorders>
          </w:tcPr>
          <w:p>
            <w:pPr>
              <w:spacing w:after="0" w:line="240" w:lineRule="auto"/>
              <w:jc w:val="center"/>
            </w:pPr>
            <w:r>
              <w:rPr>
                <w:rFonts w:ascii="宋体" w:hAnsi="宋体" w:eastAsia="宋体" w:cs="宋体"/>
                <w:sz w:val="20"/>
              </w:rPr>
              <w:t>小计</w:t>
            </w:r>
          </w:p>
        </w:tc>
        <w:tc>
          <w:tcPr>
            <w:tcW w:w="422" w:type="dxa"/>
            <w:tcBorders>
              <w:top w:val="single" w:color="000000" w:sz="6" w:space="0"/>
              <w:left w:val="nil"/>
              <w:bottom w:val="single" w:color="000000" w:sz="6" w:space="0"/>
              <w:right w:val="single" w:color="000000" w:sz="6" w:space="0"/>
            </w:tcBorders>
          </w:tcPr>
          <w:p>
            <w:pPr>
              <w:spacing w:after="0" w:line="240" w:lineRule="auto"/>
            </w:pP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其中：基本支出</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项目支出</w:t>
            </w:r>
          </w:p>
        </w:tc>
      </w:tr>
      <w:tr>
        <w:tblPrEx>
          <w:tblLayout w:type="fixed"/>
          <w:tblCellMar>
            <w:top w:w="63" w:type="dxa"/>
            <w:left w:w="0" w:type="dxa"/>
            <w:bottom w:w="0" w:type="dxa"/>
            <w:right w:w="8" w:type="dxa"/>
          </w:tblCellMar>
        </w:tblPrEx>
        <w:trPr>
          <w:trHeight w:val="327" w:hRule="atLeast"/>
        </w:trPr>
        <w:tc>
          <w:tcPr>
            <w:tcW w:w="2718" w:type="dxa"/>
            <w:tcBorders>
              <w:top w:val="single" w:color="000000" w:sz="6" w:space="0"/>
              <w:left w:val="single" w:color="000000" w:sz="6" w:space="0"/>
              <w:bottom w:val="single" w:color="000000" w:sz="6" w:space="0"/>
              <w:right w:val="single" w:color="000000" w:sz="6" w:space="0"/>
            </w:tcBorders>
          </w:tcPr>
          <w:p>
            <w:pPr>
              <w:spacing w:after="0" w:line="240" w:lineRule="auto"/>
            </w:pPr>
          </w:p>
        </w:tc>
        <w:tc>
          <w:tcPr>
            <w:tcW w:w="1712" w:type="dxa"/>
            <w:tcBorders>
              <w:top w:val="single" w:color="000000" w:sz="6" w:space="0"/>
              <w:left w:val="single" w:color="000000" w:sz="6" w:space="0"/>
              <w:bottom w:val="single" w:color="000000" w:sz="6" w:space="0"/>
              <w:right w:val="nil"/>
            </w:tcBorders>
          </w:tcPr>
          <w:p>
            <w:pPr>
              <w:spacing w:after="0" w:line="240" w:lineRule="auto"/>
            </w:pPr>
          </w:p>
        </w:tc>
        <w:tc>
          <w:tcPr>
            <w:tcW w:w="2513" w:type="dxa"/>
            <w:tcBorders>
              <w:top w:val="single" w:color="000000" w:sz="6" w:space="0"/>
              <w:left w:val="nil"/>
              <w:bottom w:val="single" w:color="000000" w:sz="6" w:space="0"/>
              <w:right w:val="single" w:color="000000" w:sz="6" w:space="0"/>
            </w:tcBorders>
          </w:tcPr>
          <w:p>
            <w:pPr>
              <w:spacing w:after="0" w:line="240" w:lineRule="auto"/>
            </w:pPr>
            <w:r>
              <w:rPr>
                <w:rFonts w:ascii="宋体" w:hAnsi="宋体" w:eastAsia="宋体" w:cs="宋体"/>
                <w:sz w:val="20"/>
              </w:rPr>
              <w:t>合计</w:t>
            </w:r>
          </w:p>
        </w:tc>
        <w:tc>
          <w:tcPr>
            <w:tcW w:w="2308" w:type="dxa"/>
            <w:tcBorders>
              <w:top w:val="single" w:color="000000" w:sz="6" w:space="0"/>
              <w:left w:val="single" w:color="000000" w:sz="6" w:space="0"/>
              <w:bottom w:val="single" w:color="000000" w:sz="6" w:space="0"/>
              <w:right w:val="nil"/>
            </w:tcBorders>
          </w:tcPr>
          <w:p>
            <w:pPr>
              <w:spacing w:after="0" w:line="240" w:lineRule="auto"/>
            </w:pPr>
          </w:p>
        </w:tc>
        <w:tc>
          <w:tcPr>
            <w:tcW w:w="422"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bl>
    <w:p>
      <w:pPr>
        <w:spacing w:after="3"/>
        <w:ind w:left="141" w:leftChars="64" w:right="-77" w:firstLine="318" w:firstLineChars="177"/>
        <w:rPr>
          <w:lang w:eastAsia="zh-CN"/>
        </w:rPr>
      </w:pPr>
      <w:r>
        <w:rPr>
          <w:rFonts w:ascii="宋体" w:hAnsi="宋体" w:eastAsia="宋体" w:cs="宋体"/>
          <w:sz w:val="18"/>
          <w:lang w:eastAsia="zh-CN"/>
        </w:rPr>
        <w:t>注：本表本年无发生额。</w:t>
      </w:r>
      <w:r>
        <w:rPr>
          <w:lang w:eastAsia="zh-CN"/>
        </w:rPr>
        <w:br w:type="page"/>
      </w:r>
    </w:p>
    <w:p>
      <w:pPr>
        <w:spacing w:after="236"/>
        <w:ind w:left="141" w:leftChars="64" w:right="-77" w:firstLine="424" w:firstLineChars="177"/>
        <w:jc w:val="right"/>
        <w:rPr>
          <w:lang w:eastAsia="zh-CN"/>
        </w:rPr>
      </w:pPr>
      <w:r>
        <w:rPr>
          <w:rFonts w:ascii="宋体" w:hAnsi="宋体" w:eastAsia="宋体" w:cs="宋体"/>
          <w:sz w:val="24"/>
          <w:lang w:eastAsia="zh-CN"/>
        </w:rPr>
        <w:t>表10</w:t>
      </w:r>
    </w:p>
    <w:p>
      <w:pPr>
        <w:pStyle w:val="4"/>
        <w:ind w:left="141" w:leftChars="64" w:right="-77" w:firstLine="460" w:firstLineChars="177"/>
        <w:rPr>
          <w:rFonts w:ascii="黑体" w:hAnsi="黑体" w:eastAsia="黑体"/>
          <w:lang w:eastAsia="zh-CN"/>
        </w:rPr>
      </w:pPr>
      <w:r>
        <w:rPr>
          <w:rFonts w:ascii="黑体" w:hAnsi="黑体" w:eastAsia="黑体"/>
          <w:lang w:eastAsia="zh-CN"/>
        </w:rPr>
        <w:t>国有资本经营预算支出情况表</w:t>
      </w:r>
    </w:p>
    <w:p>
      <w:pPr>
        <w:rPr>
          <w:rFonts w:hint="eastAsia" w:eastAsiaTheme="minorEastAsia"/>
          <w:lang w:eastAsia="zh-CN"/>
        </w:rPr>
      </w:pPr>
    </w:p>
    <w:p>
      <w:pPr>
        <w:rPr>
          <w:rFonts w:hint="eastAsia" w:eastAsiaTheme="minorEastAsia"/>
          <w:lang w:eastAsia="zh-CN"/>
        </w:rPr>
      </w:pPr>
      <w:r>
        <w:rPr>
          <w:rFonts w:ascii="宋体" w:hAnsi="宋体" w:eastAsia="宋体" w:cs="宋体"/>
          <w:sz w:val="24"/>
          <w:lang w:eastAsia="zh-CN"/>
        </w:rPr>
        <w:t>单位名称：中共普宁市纪律检查委员会办公室                                                                          单位：万元</w:t>
      </w:r>
    </w:p>
    <w:tbl>
      <w:tblPr>
        <w:tblStyle w:val="12"/>
        <w:tblW w:w="15105" w:type="dxa"/>
        <w:tblInd w:w="8" w:type="dxa"/>
        <w:tblLayout w:type="fixed"/>
        <w:tblCellMar>
          <w:top w:w="63" w:type="dxa"/>
          <w:left w:w="0" w:type="dxa"/>
          <w:bottom w:w="0" w:type="dxa"/>
          <w:right w:w="8" w:type="dxa"/>
        </w:tblCellMar>
      </w:tblPr>
      <w:tblGrid>
        <w:gridCol w:w="2718"/>
        <w:gridCol w:w="1712"/>
        <w:gridCol w:w="2513"/>
        <w:gridCol w:w="2308"/>
        <w:gridCol w:w="422"/>
        <w:gridCol w:w="2716"/>
        <w:gridCol w:w="2716"/>
      </w:tblGrid>
      <w:tr>
        <w:tblPrEx>
          <w:tblLayout w:type="fixed"/>
          <w:tblCellMar>
            <w:top w:w="63" w:type="dxa"/>
            <w:left w:w="0" w:type="dxa"/>
            <w:bottom w:w="0" w:type="dxa"/>
            <w:right w:w="8" w:type="dxa"/>
          </w:tblCellMar>
        </w:tblPrEx>
        <w:trPr>
          <w:trHeight w:val="327" w:hRule="atLeast"/>
        </w:trPr>
        <w:tc>
          <w:tcPr>
            <w:tcW w:w="4430" w:type="dxa"/>
            <w:gridSpan w:val="2"/>
            <w:tcBorders>
              <w:top w:val="single" w:color="000000" w:sz="6" w:space="0"/>
              <w:left w:val="single" w:color="000000" w:sz="6" w:space="0"/>
              <w:bottom w:val="single" w:color="000000" w:sz="6" w:space="0"/>
              <w:right w:val="nil"/>
            </w:tcBorders>
          </w:tcPr>
          <w:p>
            <w:pPr>
              <w:spacing w:after="0" w:line="240" w:lineRule="auto"/>
              <w:jc w:val="right"/>
            </w:pPr>
            <w:r>
              <w:rPr>
                <w:rFonts w:ascii="宋体" w:hAnsi="宋体" w:eastAsia="宋体" w:cs="宋体"/>
                <w:sz w:val="20"/>
              </w:rPr>
              <w:t>功能分类科目</w:t>
            </w:r>
          </w:p>
        </w:tc>
        <w:tc>
          <w:tcPr>
            <w:tcW w:w="2513" w:type="dxa"/>
            <w:tcBorders>
              <w:top w:val="single" w:color="000000" w:sz="6" w:space="0"/>
              <w:left w:val="nil"/>
              <w:bottom w:val="single" w:color="000000" w:sz="6" w:space="0"/>
              <w:right w:val="single" w:color="000000" w:sz="6" w:space="0"/>
            </w:tcBorders>
          </w:tcPr>
          <w:p>
            <w:pPr>
              <w:spacing w:after="0" w:line="240" w:lineRule="auto"/>
            </w:pPr>
          </w:p>
        </w:tc>
        <w:tc>
          <w:tcPr>
            <w:tcW w:w="2308" w:type="dxa"/>
            <w:tcBorders>
              <w:top w:val="single" w:color="000000" w:sz="6" w:space="0"/>
              <w:left w:val="single" w:color="000000" w:sz="6" w:space="0"/>
              <w:bottom w:val="single" w:color="000000" w:sz="6" w:space="0"/>
              <w:right w:val="nil"/>
            </w:tcBorders>
          </w:tcPr>
          <w:p>
            <w:pPr>
              <w:spacing w:after="0" w:line="240" w:lineRule="auto"/>
            </w:pPr>
          </w:p>
        </w:tc>
        <w:tc>
          <w:tcPr>
            <w:tcW w:w="422" w:type="dxa"/>
            <w:tcBorders>
              <w:top w:val="single" w:color="000000" w:sz="6" w:space="0"/>
              <w:left w:val="nil"/>
              <w:bottom w:val="single" w:color="000000" w:sz="6" w:space="0"/>
              <w:right w:val="nil"/>
            </w:tcBorders>
          </w:tcPr>
          <w:p>
            <w:pPr>
              <w:spacing w:after="0" w:line="240" w:lineRule="auto"/>
            </w:pPr>
          </w:p>
        </w:tc>
        <w:tc>
          <w:tcPr>
            <w:tcW w:w="2716" w:type="dxa"/>
            <w:tcBorders>
              <w:top w:val="single" w:color="000000" w:sz="6" w:space="0"/>
              <w:left w:val="nil"/>
              <w:bottom w:val="single" w:color="000000" w:sz="6" w:space="0"/>
              <w:right w:val="nil"/>
            </w:tcBorders>
          </w:tcPr>
          <w:p>
            <w:pPr>
              <w:spacing w:after="0" w:line="240" w:lineRule="auto"/>
              <w:rPr>
                <w:lang w:eastAsia="zh-CN"/>
              </w:rPr>
            </w:pPr>
            <w:r>
              <w:rPr>
                <w:rFonts w:ascii="宋体" w:hAnsi="宋体" w:eastAsia="宋体" w:cs="宋体"/>
                <w:sz w:val="20"/>
                <w:lang w:eastAsia="zh-CN"/>
              </w:rPr>
              <w:t>国有资本经营预算支出</w:t>
            </w:r>
          </w:p>
        </w:tc>
        <w:tc>
          <w:tcPr>
            <w:tcW w:w="2716" w:type="dxa"/>
            <w:tcBorders>
              <w:top w:val="single" w:color="000000" w:sz="6" w:space="0"/>
              <w:left w:val="nil"/>
              <w:bottom w:val="single" w:color="000000" w:sz="6" w:space="0"/>
              <w:right w:val="single" w:color="000000" w:sz="6" w:space="0"/>
            </w:tcBorders>
          </w:tcPr>
          <w:p>
            <w:pPr>
              <w:spacing w:after="0" w:line="240" w:lineRule="auto"/>
              <w:rPr>
                <w:lang w:eastAsia="zh-CN"/>
              </w:rPr>
            </w:pPr>
          </w:p>
        </w:tc>
      </w:tr>
      <w:tr>
        <w:tblPrEx>
          <w:tblLayout w:type="fixed"/>
          <w:tblCellMar>
            <w:top w:w="63" w:type="dxa"/>
            <w:left w:w="0" w:type="dxa"/>
            <w:bottom w:w="0" w:type="dxa"/>
            <w:right w:w="8" w:type="dxa"/>
          </w:tblCellMar>
        </w:tblPrEx>
        <w:trPr>
          <w:trHeight w:val="327" w:hRule="atLeast"/>
        </w:trPr>
        <w:tc>
          <w:tcPr>
            <w:tcW w:w="271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54" w:firstLineChars="177"/>
              <w:jc w:val="center"/>
            </w:pPr>
            <w:r>
              <w:rPr>
                <w:rFonts w:ascii="宋体" w:hAnsi="宋体" w:eastAsia="宋体" w:cs="宋体"/>
                <w:sz w:val="20"/>
              </w:rPr>
              <w:t>科目编码</w:t>
            </w:r>
          </w:p>
        </w:tc>
        <w:tc>
          <w:tcPr>
            <w:tcW w:w="1712" w:type="dxa"/>
            <w:tcBorders>
              <w:top w:val="single" w:color="000000" w:sz="6" w:space="0"/>
              <w:left w:val="single" w:color="000000" w:sz="6" w:space="0"/>
              <w:bottom w:val="single" w:color="000000" w:sz="6" w:space="0"/>
              <w:right w:val="nil"/>
            </w:tcBorders>
          </w:tcPr>
          <w:p>
            <w:pPr>
              <w:spacing w:after="0" w:line="240" w:lineRule="auto"/>
            </w:pPr>
          </w:p>
        </w:tc>
        <w:tc>
          <w:tcPr>
            <w:tcW w:w="2513" w:type="dxa"/>
            <w:tcBorders>
              <w:top w:val="single" w:color="000000" w:sz="6" w:space="0"/>
              <w:left w:val="nil"/>
              <w:bottom w:val="single" w:color="000000" w:sz="6" w:space="0"/>
              <w:right w:val="single" w:color="000000" w:sz="6" w:space="0"/>
            </w:tcBorders>
          </w:tcPr>
          <w:p>
            <w:pPr>
              <w:spacing w:after="0" w:line="240" w:lineRule="auto"/>
            </w:pPr>
            <w:r>
              <w:rPr>
                <w:rFonts w:ascii="宋体" w:hAnsi="宋体" w:eastAsia="宋体" w:cs="宋体"/>
                <w:sz w:val="20"/>
              </w:rPr>
              <w:t>科目名称</w:t>
            </w:r>
          </w:p>
        </w:tc>
        <w:tc>
          <w:tcPr>
            <w:tcW w:w="2308" w:type="dxa"/>
            <w:tcBorders>
              <w:top w:val="single" w:color="000000" w:sz="6" w:space="0"/>
              <w:left w:val="single" w:color="000000" w:sz="6" w:space="0"/>
              <w:bottom w:val="single" w:color="000000" w:sz="6" w:space="0"/>
              <w:right w:val="nil"/>
            </w:tcBorders>
          </w:tcPr>
          <w:p>
            <w:pPr>
              <w:spacing w:after="0" w:line="240" w:lineRule="auto"/>
              <w:jc w:val="center"/>
            </w:pPr>
            <w:r>
              <w:rPr>
                <w:rFonts w:ascii="宋体" w:hAnsi="宋体" w:eastAsia="宋体" w:cs="宋体"/>
                <w:sz w:val="20"/>
              </w:rPr>
              <w:t>小计</w:t>
            </w:r>
          </w:p>
        </w:tc>
        <w:tc>
          <w:tcPr>
            <w:tcW w:w="422" w:type="dxa"/>
            <w:tcBorders>
              <w:top w:val="single" w:color="000000" w:sz="6" w:space="0"/>
              <w:left w:val="nil"/>
              <w:bottom w:val="single" w:color="000000" w:sz="6" w:space="0"/>
              <w:right w:val="single" w:color="000000" w:sz="6" w:space="0"/>
            </w:tcBorders>
          </w:tcPr>
          <w:p>
            <w:pPr>
              <w:spacing w:after="0" w:line="240" w:lineRule="auto"/>
            </w:pP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其中：基本支出</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项目支出</w:t>
            </w:r>
          </w:p>
        </w:tc>
      </w:tr>
      <w:tr>
        <w:tblPrEx>
          <w:tblLayout w:type="fixed"/>
          <w:tblCellMar>
            <w:top w:w="63" w:type="dxa"/>
            <w:left w:w="0" w:type="dxa"/>
            <w:bottom w:w="0" w:type="dxa"/>
            <w:right w:w="8" w:type="dxa"/>
          </w:tblCellMar>
        </w:tblPrEx>
        <w:trPr>
          <w:trHeight w:val="327" w:hRule="atLeast"/>
        </w:trPr>
        <w:tc>
          <w:tcPr>
            <w:tcW w:w="2718" w:type="dxa"/>
            <w:tcBorders>
              <w:top w:val="single" w:color="000000" w:sz="6" w:space="0"/>
              <w:left w:val="single" w:color="000000" w:sz="6" w:space="0"/>
              <w:bottom w:val="single" w:color="000000" w:sz="6" w:space="0"/>
              <w:right w:val="single" w:color="000000" w:sz="6" w:space="0"/>
            </w:tcBorders>
          </w:tcPr>
          <w:p>
            <w:pPr>
              <w:spacing w:after="0" w:line="240" w:lineRule="auto"/>
              <w:ind w:left="141" w:leftChars="64" w:right="-77" w:firstLine="389" w:firstLineChars="177"/>
            </w:pPr>
          </w:p>
        </w:tc>
        <w:tc>
          <w:tcPr>
            <w:tcW w:w="1712" w:type="dxa"/>
            <w:tcBorders>
              <w:top w:val="single" w:color="000000" w:sz="6" w:space="0"/>
              <w:left w:val="single" w:color="000000" w:sz="6" w:space="0"/>
              <w:bottom w:val="single" w:color="000000" w:sz="6" w:space="0"/>
              <w:right w:val="nil"/>
            </w:tcBorders>
          </w:tcPr>
          <w:p>
            <w:pPr>
              <w:spacing w:after="0" w:line="240" w:lineRule="auto"/>
            </w:pPr>
          </w:p>
        </w:tc>
        <w:tc>
          <w:tcPr>
            <w:tcW w:w="2513" w:type="dxa"/>
            <w:tcBorders>
              <w:top w:val="single" w:color="000000" w:sz="6" w:space="0"/>
              <w:left w:val="nil"/>
              <w:bottom w:val="single" w:color="000000" w:sz="6" w:space="0"/>
              <w:right w:val="single" w:color="000000" w:sz="6" w:space="0"/>
            </w:tcBorders>
          </w:tcPr>
          <w:p>
            <w:pPr>
              <w:spacing w:after="0" w:line="240" w:lineRule="auto"/>
            </w:pPr>
            <w:r>
              <w:rPr>
                <w:rFonts w:ascii="宋体" w:hAnsi="宋体" w:eastAsia="宋体" w:cs="宋体"/>
                <w:sz w:val="20"/>
              </w:rPr>
              <w:t>合计</w:t>
            </w:r>
          </w:p>
        </w:tc>
        <w:tc>
          <w:tcPr>
            <w:tcW w:w="2308" w:type="dxa"/>
            <w:tcBorders>
              <w:top w:val="single" w:color="000000" w:sz="6" w:space="0"/>
              <w:left w:val="single" w:color="000000" w:sz="6" w:space="0"/>
              <w:bottom w:val="single" w:color="000000" w:sz="6" w:space="0"/>
              <w:right w:val="nil"/>
            </w:tcBorders>
          </w:tcPr>
          <w:p>
            <w:pPr>
              <w:spacing w:after="0" w:line="240" w:lineRule="auto"/>
              <w:jc w:val="center"/>
            </w:pPr>
          </w:p>
        </w:tc>
        <w:tc>
          <w:tcPr>
            <w:tcW w:w="422" w:type="dxa"/>
            <w:tcBorders>
              <w:top w:val="single" w:color="000000" w:sz="6" w:space="0"/>
              <w:left w:val="nil"/>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27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bl>
    <w:p>
      <w:pPr>
        <w:spacing w:after="3"/>
        <w:ind w:left="141" w:leftChars="64" w:right="-77" w:firstLine="318" w:firstLineChars="177"/>
        <w:rPr>
          <w:lang w:eastAsia="zh-CN"/>
        </w:rPr>
      </w:pPr>
      <w:r>
        <w:rPr>
          <w:rFonts w:ascii="宋体" w:hAnsi="宋体" w:eastAsia="宋体" w:cs="宋体"/>
          <w:sz w:val="18"/>
          <w:lang w:eastAsia="zh-CN"/>
        </w:rPr>
        <w:t>注：本表本年无发生额。</w:t>
      </w:r>
      <w:r>
        <w:rPr>
          <w:lang w:eastAsia="zh-CN"/>
        </w:rPr>
        <w:br w:type="page"/>
      </w:r>
    </w:p>
    <w:p>
      <w:pPr>
        <w:spacing w:after="236"/>
        <w:ind w:left="141" w:leftChars="64" w:right="-77" w:firstLine="424" w:firstLineChars="177"/>
        <w:jc w:val="right"/>
        <w:rPr>
          <w:lang w:eastAsia="zh-CN"/>
        </w:rPr>
      </w:pPr>
      <w:r>
        <w:rPr>
          <w:rFonts w:ascii="宋体" w:hAnsi="宋体" w:eastAsia="宋体" w:cs="宋体"/>
          <w:sz w:val="24"/>
          <w:lang w:eastAsia="zh-CN"/>
        </w:rPr>
        <w:t>表11</w:t>
      </w:r>
    </w:p>
    <w:p>
      <w:pPr>
        <w:pStyle w:val="4"/>
        <w:ind w:left="141" w:leftChars="64" w:right="-77" w:firstLine="460" w:firstLineChars="177"/>
        <w:rPr>
          <w:rFonts w:ascii="黑体" w:hAnsi="黑体" w:eastAsia="黑体"/>
          <w:lang w:eastAsia="zh-CN"/>
        </w:rPr>
      </w:pPr>
      <w:r>
        <w:rPr>
          <w:rFonts w:ascii="黑体" w:hAnsi="黑体" w:eastAsia="黑体"/>
          <w:lang w:eastAsia="zh-CN"/>
        </w:rPr>
        <w:t>部门预算基本支出预算表</w:t>
      </w:r>
    </w:p>
    <w:p>
      <w:pPr>
        <w:rPr>
          <w:rFonts w:hint="eastAsia" w:eastAsiaTheme="minorEastAsia"/>
          <w:lang w:eastAsia="zh-CN"/>
        </w:rPr>
      </w:pPr>
      <w:r>
        <w:rPr>
          <w:rFonts w:ascii="宋体" w:hAnsi="宋体" w:eastAsia="宋体" w:cs="宋体"/>
          <w:sz w:val="24"/>
          <w:lang w:eastAsia="zh-CN"/>
        </w:rPr>
        <w:t>单位名称：中共普宁市纪律检查委员会办公室                                                                          单位：万元</w:t>
      </w:r>
    </w:p>
    <w:tbl>
      <w:tblPr>
        <w:tblStyle w:val="12"/>
        <w:tblW w:w="15105" w:type="dxa"/>
        <w:tblInd w:w="8" w:type="dxa"/>
        <w:tblLayout w:type="fixed"/>
        <w:tblCellMar>
          <w:top w:w="63" w:type="dxa"/>
          <w:left w:w="8" w:type="dxa"/>
          <w:bottom w:w="0" w:type="dxa"/>
          <w:right w:w="7" w:type="dxa"/>
        </w:tblCellMar>
      </w:tblPr>
      <w:tblGrid>
        <w:gridCol w:w="2416"/>
        <w:gridCol w:w="1813"/>
        <w:gridCol w:w="1813"/>
        <w:gridCol w:w="1813"/>
        <w:gridCol w:w="1813"/>
        <w:gridCol w:w="1813"/>
        <w:gridCol w:w="1812"/>
        <w:gridCol w:w="1812"/>
      </w:tblGrid>
      <w:tr>
        <w:tblPrEx>
          <w:tblLayout w:type="fixed"/>
          <w:tblCellMar>
            <w:top w:w="63" w:type="dxa"/>
            <w:left w:w="8" w:type="dxa"/>
            <w:bottom w:w="0" w:type="dxa"/>
            <w:right w:w="7" w:type="dxa"/>
          </w:tblCellMar>
        </w:tblPrEx>
        <w:trPr>
          <w:trHeight w:val="327" w:hRule="atLeast"/>
        </w:trPr>
        <w:tc>
          <w:tcPr>
            <w:tcW w:w="2416" w:type="dxa"/>
            <w:vMerge w:val="restart"/>
            <w:tcBorders>
              <w:top w:val="single" w:color="000000" w:sz="6" w:space="0"/>
              <w:left w:val="single" w:color="000000" w:sz="6" w:space="0"/>
              <w:bottom w:val="single" w:color="000000" w:sz="6" w:space="0"/>
              <w:right w:val="single" w:color="000000" w:sz="6" w:space="0"/>
            </w:tcBorders>
          </w:tcPr>
          <w:p>
            <w:pPr>
              <w:spacing w:after="0" w:line="240" w:lineRule="auto"/>
              <w:jc w:val="center"/>
              <w:rPr>
                <w:rFonts w:ascii="宋体" w:hAnsi="宋体" w:eastAsia="宋体" w:cs="宋体"/>
                <w:sz w:val="20"/>
                <w:lang w:eastAsia="zh-CN"/>
              </w:rPr>
            </w:pPr>
            <w:r>
              <w:rPr>
                <w:rFonts w:ascii="宋体" w:hAnsi="宋体" w:eastAsia="宋体" w:cs="宋体"/>
                <w:sz w:val="20"/>
                <w:lang w:eastAsia="zh-CN"/>
              </w:rPr>
              <w:t>支出项目类别</w:t>
            </w:r>
          </w:p>
          <w:p>
            <w:pPr>
              <w:spacing w:after="0" w:line="240" w:lineRule="auto"/>
              <w:jc w:val="center"/>
              <w:rPr>
                <w:lang w:eastAsia="zh-CN"/>
              </w:rPr>
            </w:pPr>
            <w:r>
              <w:rPr>
                <w:rFonts w:ascii="宋体" w:hAnsi="宋体" w:eastAsia="宋体" w:cs="宋体"/>
                <w:sz w:val="20"/>
                <w:lang w:eastAsia="zh-CN"/>
              </w:rPr>
              <w:t>（资金使用单位）</w:t>
            </w:r>
          </w:p>
        </w:tc>
        <w:tc>
          <w:tcPr>
            <w:tcW w:w="1813"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总计</w:t>
            </w:r>
          </w:p>
        </w:tc>
        <w:tc>
          <w:tcPr>
            <w:tcW w:w="5439" w:type="dxa"/>
            <w:gridSpan w:val="3"/>
            <w:tcBorders>
              <w:top w:val="single" w:color="000000" w:sz="6" w:space="0"/>
              <w:left w:val="single" w:color="000000" w:sz="6" w:space="0"/>
              <w:bottom w:val="single" w:color="000000" w:sz="6" w:space="0"/>
              <w:right w:val="nil"/>
            </w:tcBorders>
          </w:tcPr>
          <w:p>
            <w:pPr>
              <w:spacing w:after="0" w:line="240" w:lineRule="auto"/>
              <w:jc w:val="center"/>
            </w:pPr>
            <w:r>
              <w:rPr>
                <w:rFonts w:ascii="宋体" w:hAnsi="宋体" w:eastAsia="宋体" w:cs="宋体"/>
                <w:sz w:val="20"/>
              </w:rPr>
              <w:t>财政拨款</w:t>
            </w:r>
          </w:p>
        </w:tc>
        <w:tc>
          <w:tcPr>
            <w:tcW w:w="1813" w:type="dxa"/>
            <w:tcBorders>
              <w:top w:val="single" w:color="000000" w:sz="6" w:space="0"/>
              <w:left w:val="nil"/>
              <w:bottom w:val="single" w:color="000000" w:sz="6" w:space="0"/>
              <w:right w:val="single" w:color="000000" w:sz="6" w:space="0"/>
            </w:tcBorders>
          </w:tcPr>
          <w:p>
            <w:pPr>
              <w:spacing w:after="0" w:line="240" w:lineRule="auto"/>
            </w:pPr>
          </w:p>
        </w:tc>
        <w:tc>
          <w:tcPr>
            <w:tcW w:w="1812"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pPr>
            <w:r>
              <w:rPr>
                <w:rFonts w:ascii="宋体" w:hAnsi="宋体" w:eastAsia="宋体" w:cs="宋体"/>
                <w:sz w:val="20"/>
              </w:rPr>
              <w:t>财政专户拨款</w:t>
            </w:r>
          </w:p>
        </w:tc>
        <w:tc>
          <w:tcPr>
            <w:tcW w:w="1812"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其他资金</w:t>
            </w:r>
          </w:p>
        </w:tc>
      </w:tr>
      <w:tr>
        <w:tblPrEx>
          <w:tblLayout w:type="fixed"/>
          <w:tblCellMar>
            <w:top w:w="63" w:type="dxa"/>
            <w:left w:w="8" w:type="dxa"/>
            <w:bottom w:w="0" w:type="dxa"/>
            <w:right w:w="7" w:type="dxa"/>
          </w:tblCellMar>
        </w:tblPrEx>
        <w:trPr>
          <w:trHeight w:val="397" w:hRule="exact"/>
        </w:trPr>
        <w:tc>
          <w:tcPr>
            <w:tcW w:w="2416" w:type="dxa"/>
            <w:vMerge w:val="continue"/>
            <w:tcBorders>
              <w:top w:val="nil"/>
              <w:left w:val="single" w:color="000000" w:sz="6" w:space="0"/>
              <w:bottom w:val="single" w:color="000000" w:sz="6" w:space="0"/>
              <w:right w:val="single" w:color="000000" w:sz="6" w:space="0"/>
            </w:tcBorders>
          </w:tcPr>
          <w:p>
            <w:pPr>
              <w:spacing w:after="0" w:line="240" w:lineRule="auto"/>
            </w:pPr>
          </w:p>
        </w:tc>
        <w:tc>
          <w:tcPr>
            <w:tcW w:w="1813" w:type="dxa"/>
            <w:vMerge w:val="continue"/>
            <w:tcBorders>
              <w:top w:val="nil"/>
              <w:left w:val="single" w:color="000000" w:sz="6" w:space="0"/>
              <w:bottom w:val="single" w:color="000000" w:sz="6" w:space="0"/>
              <w:right w:val="single" w:color="000000" w:sz="6" w:space="0"/>
            </w:tcBorders>
          </w:tcPr>
          <w:p>
            <w:pPr>
              <w:spacing w:after="0" w:line="240" w:lineRule="auto"/>
            </w:pP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合计</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一般公共预算</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pPr>
            <w:r>
              <w:rPr>
                <w:rFonts w:ascii="宋体" w:hAnsi="宋体" w:eastAsia="宋体" w:cs="宋体"/>
                <w:sz w:val="20"/>
              </w:rPr>
              <w:t>政府性基金预算</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both"/>
            </w:pPr>
            <w:r>
              <w:rPr>
                <w:rFonts w:ascii="宋体" w:hAnsi="宋体" w:eastAsia="宋体" w:cs="宋体"/>
                <w:sz w:val="20"/>
              </w:rPr>
              <w:t>国有资本经营预算</w:t>
            </w:r>
          </w:p>
        </w:tc>
        <w:tc>
          <w:tcPr>
            <w:tcW w:w="1812" w:type="dxa"/>
            <w:vMerge w:val="continue"/>
            <w:tcBorders>
              <w:top w:val="nil"/>
              <w:left w:val="single" w:color="000000" w:sz="6" w:space="0"/>
              <w:bottom w:val="single" w:color="000000" w:sz="6" w:space="0"/>
              <w:right w:val="single" w:color="000000" w:sz="6" w:space="0"/>
            </w:tcBorders>
          </w:tcPr>
          <w:p>
            <w:pPr>
              <w:spacing w:after="0" w:line="240" w:lineRule="auto"/>
            </w:pPr>
          </w:p>
        </w:tc>
        <w:tc>
          <w:tcPr>
            <w:tcW w:w="1812" w:type="dxa"/>
            <w:vMerge w:val="continue"/>
            <w:tcBorders>
              <w:top w:val="nil"/>
              <w:left w:val="single" w:color="000000" w:sz="6" w:space="0"/>
              <w:bottom w:val="single" w:color="000000" w:sz="6" w:space="0"/>
              <w:right w:val="single" w:color="000000" w:sz="6" w:space="0"/>
            </w:tcBorders>
          </w:tcPr>
          <w:p>
            <w:pPr>
              <w:spacing w:after="0" w:line="240" w:lineRule="auto"/>
            </w:pP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合计</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2,378.04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2,378.04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2,378.04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基本工资</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588.31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588.31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588.31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津贴补贴</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692.70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692.70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692.70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奖金</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226.60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226.60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226.60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绩效工资</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46.77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46.77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46.77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556"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rFonts w:ascii="宋体" w:hAnsi="宋体" w:eastAsia="宋体" w:cs="宋体"/>
                <w:sz w:val="20"/>
                <w:lang w:eastAsia="zh-CN"/>
              </w:rPr>
            </w:pPr>
            <w:r>
              <w:rPr>
                <w:rFonts w:ascii="宋体" w:hAnsi="宋体" w:eastAsia="宋体" w:cs="宋体"/>
                <w:sz w:val="20"/>
                <w:lang w:eastAsia="zh-CN"/>
              </w:rPr>
              <w:t>机关事业单位基本养老</w:t>
            </w:r>
          </w:p>
          <w:p>
            <w:pPr>
              <w:spacing w:after="0" w:line="240" w:lineRule="auto"/>
              <w:jc w:val="center"/>
              <w:rPr>
                <w:lang w:eastAsia="zh-CN"/>
              </w:rPr>
            </w:pPr>
            <w:r>
              <w:rPr>
                <w:rFonts w:ascii="宋体" w:hAnsi="宋体" w:eastAsia="宋体" w:cs="宋体"/>
                <w:sz w:val="20"/>
                <w:lang w:eastAsia="zh-CN"/>
              </w:rPr>
              <w:t>保险缴费</w:t>
            </w:r>
          </w:p>
        </w:tc>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228.65</w:t>
            </w:r>
          </w:p>
        </w:tc>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228.65</w:t>
            </w:r>
          </w:p>
        </w:tc>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228.65</w:t>
            </w:r>
          </w:p>
        </w:tc>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职业年金缴费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114.32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114.32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114.32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lang w:eastAsia="zh-CN"/>
              </w:rPr>
            </w:pPr>
            <w:r>
              <w:rPr>
                <w:rFonts w:ascii="宋体" w:hAnsi="宋体" w:eastAsia="宋体" w:cs="宋体"/>
                <w:sz w:val="20"/>
                <w:lang w:eastAsia="zh-CN"/>
              </w:rPr>
              <w:t>职工基本医疗保险缴费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48.02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48.02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48.02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其他社会保障缴费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1.32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住房公积金</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146.87</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其他工资福利支出</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83.00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83.00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83.00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办公费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52.20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52.20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52.20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工会经费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19.23</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19.23</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19.23</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福利费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2.44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2.44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2.44</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公务用车运行维护费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11.00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其他交通费用</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81.72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81.72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81.72</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r>
        <w:tblPrEx>
          <w:tblLayout w:type="fixed"/>
          <w:tblCellMar>
            <w:top w:w="63" w:type="dxa"/>
            <w:left w:w="8" w:type="dxa"/>
            <w:bottom w:w="0" w:type="dxa"/>
            <w:right w:w="7" w:type="dxa"/>
          </w:tblCellMar>
        </w:tblPrEx>
        <w:trPr>
          <w:trHeight w:val="397" w:hRule="exact"/>
        </w:trPr>
        <w:tc>
          <w:tcPr>
            <w:tcW w:w="2416"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退休费</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34.91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34.91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34.91</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3"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812"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注：本表反映本部门一般公共预算基本支出情况。</w:t>
      </w:r>
    </w:p>
    <w:p>
      <w:pPr>
        <w:spacing w:after="236"/>
        <w:ind w:left="141" w:leftChars="64" w:right="-77" w:firstLine="424" w:firstLineChars="177"/>
        <w:jc w:val="right"/>
        <w:rPr>
          <w:lang w:eastAsia="zh-CN"/>
        </w:rPr>
      </w:pPr>
      <w:r>
        <w:rPr>
          <w:rFonts w:ascii="宋体" w:hAnsi="宋体" w:eastAsia="宋体" w:cs="宋体"/>
          <w:sz w:val="24"/>
          <w:lang w:eastAsia="zh-CN"/>
        </w:rPr>
        <w:t>表12</w:t>
      </w:r>
    </w:p>
    <w:p>
      <w:pPr>
        <w:pStyle w:val="4"/>
        <w:ind w:left="141" w:leftChars="64" w:right="-77" w:firstLine="460" w:firstLineChars="177"/>
        <w:rPr>
          <w:rFonts w:ascii="黑体" w:hAnsi="黑体" w:eastAsia="黑体"/>
          <w:lang w:eastAsia="zh-CN"/>
        </w:rPr>
      </w:pPr>
      <w:r>
        <w:rPr>
          <w:rFonts w:ascii="黑体" w:hAnsi="黑体" w:eastAsia="黑体"/>
          <w:lang w:eastAsia="zh-CN"/>
        </w:rPr>
        <w:t>部门预算项目支出及其他支出预算表</w:t>
      </w:r>
    </w:p>
    <w:p>
      <w:pPr>
        <w:rPr>
          <w:rFonts w:hint="eastAsia" w:eastAsiaTheme="minorEastAsia"/>
          <w:lang w:eastAsia="zh-CN"/>
        </w:rPr>
      </w:pPr>
      <w:r>
        <w:rPr>
          <w:rFonts w:ascii="宋体" w:hAnsi="宋体" w:eastAsia="宋体" w:cs="宋体"/>
          <w:sz w:val="24"/>
          <w:lang w:eastAsia="zh-CN"/>
        </w:rPr>
        <w:t>单位名称：中共普宁市纪律检查委员会办公室                                                                          单位：万元</w:t>
      </w:r>
    </w:p>
    <w:tbl>
      <w:tblPr>
        <w:tblStyle w:val="12"/>
        <w:tblW w:w="15105" w:type="dxa"/>
        <w:tblInd w:w="8" w:type="dxa"/>
        <w:tblLayout w:type="fixed"/>
        <w:tblCellMar>
          <w:top w:w="63" w:type="dxa"/>
          <w:left w:w="8" w:type="dxa"/>
          <w:bottom w:w="0" w:type="dxa"/>
          <w:right w:w="8" w:type="dxa"/>
        </w:tblCellMar>
      </w:tblPr>
      <w:tblGrid>
        <w:gridCol w:w="2569"/>
        <w:gridCol w:w="1209"/>
        <w:gridCol w:w="1208"/>
        <w:gridCol w:w="1208"/>
        <w:gridCol w:w="1208"/>
        <w:gridCol w:w="1209"/>
        <w:gridCol w:w="755"/>
        <w:gridCol w:w="755"/>
        <w:gridCol w:w="4984"/>
      </w:tblGrid>
      <w:tr>
        <w:tblPrEx>
          <w:tblLayout w:type="fixed"/>
          <w:tblCellMar>
            <w:top w:w="63" w:type="dxa"/>
            <w:left w:w="8" w:type="dxa"/>
            <w:bottom w:w="0" w:type="dxa"/>
            <w:right w:w="8" w:type="dxa"/>
          </w:tblCellMar>
        </w:tblPrEx>
        <w:trPr>
          <w:trHeight w:val="327" w:hRule="atLeast"/>
        </w:trPr>
        <w:tc>
          <w:tcPr>
            <w:tcW w:w="2569"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rFonts w:ascii="宋体" w:hAnsi="宋体" w:eastAsia="宋体" w:cs="宋体"/>
                <w:sz w:val="20"/>
                <w:lang w:eastAsia="zh-CN"/>
              </w:rPr>
            </w:pPr>
            <w:r>
              <w:rPr>
                <w:rFonts w:ascii="宋体" w:hAnsi="宋体" w:eastAsia="宋体" w:cs="宋体"/>
                <w:sz w:val="20"/>
                <w:lang w:eastAsia="zh-CN"/>
              </w:rPr>
              <w:t>支出项目类别</w:t>
            </w:r>
          </w:p>
          <w:p>
            <w:pPr>
              <w:spacing w:after="0" w:line="240" w:lineRule="auto"/>
              <w:jc w:val="center"/>
              <w:rPr>
                <w:lang w:eastAsia="zh-CN"/>
              </w:rPr>
            </w:pPr>
            <w:r>
              <w:rPr>
                <w:rFonts w:ascii="宋体" w:hAnsi="宋体" w:eastAsia="宋体" w:cs="宋体"/>
                <w:sz w:val="20"/>
                <w:lang w:eastAsia="zh-CN"/>
              </w:rPr>
              <w:t>（资金使用单位）</w:t>
            </w:r>
          </w:p>
        </w:tc>
        <w:tc>
          <w:tcPr>
            <w:tcW w:w="1209"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总计</w:t>
            </w:r>
          </w:p>
        </w:tc>
        <w:tc>
          <w:tcPr>
            <w:tcW w:w="4833" w:type="dxa"/>
            <w:gridSpan w:val="4"/>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财政拨款</w:t>
            </w:r>
          </w:p>
        </w:tc>
        <w:tc>
          <w:tcPr>
            <w:tcW w:w="755"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财政专户拨款</w:t>
            </w:r>
          </w:p>
        </w:tc>
        <w:tc>
          <w:tcPr>
            <w:tcW w:w="755"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其他资金</w:t>
            </w:r>
          </w:p>
        </w:tc>
        <w:tc>
          <w:tcPr>
            <w:tcW w:w="4984" w:type="dxa"/>
            <w:vMerge w:val="restart"/>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绩效目标</w:t>
            </w:r>
          </w:p>
        </w:tc>
      </w:tr>
      <w:tr>
        <w:tblPrEx>
          <w:tblLayout w:type="fixed"/>
          <w:tblCellMar>
            <w:top w:w="63" w:type="dxa"/>
            <w:left w:w="8" w:type="dxa"/>
            <w:bottom w:w="0" w:type="dxa"/>
            <w:right w:w="8" w:type="dxa"/>
          </w:tblCellMar>
        </w:tblPrEx>
        <w:trPr>
          <w:trHeight w:val="639" w:hRule="atLeast"/>
        </w:trPr>
        <w:tc>
          <w:tcPr>
            <w:tcW w:w="2569" w:type="dxa"/>
            <w:vMerge w:val="continue"/>
            <w:tcBorders>
              <w:top w:val="nil"/>
              <w:left w:val="single" w:color="000000" w:sz="6" w:space="0"/>
              <w:bottom w:val="single" w:color="000000" w:sz="6" w:space="0"/>
              <w:right w:val="single" w:color="000000" w:sz="6" w:space="0"/>
            </w:tcBorders>
          </w:tcPr>
          <w:p>
            <w:pPr>
              <w:spacing w:after="0" w:line="240" w:lineRule="auto"/>
              <w:jc w:val="center"/>
            </w:pPr>
          </w:p>
        </w:tc>
        <w:tc>
          <w:tcPr>
            <w:tcW w:w="1209" w:type="dxa"/>
            <w:vMerge w:val="continue"/>
            <w:tcBorders>
              <w:top w:val="nil"/>
              <w:left w:val="single" w:color="000000" w:sz="6" w:space="0"/>
              <w:bottom w:val="single" w:color="000000" w:sz="6" w:space="0"/>
              <w:right w:val="single" w:color="000000" w:sz="6" w:space="0"/>
            </w:tcBorders>
          </w:tcPr>
          <w:p>
            <w:pPr>
              <w:spacing w:after="0" w:line="240" w:lineRule="auto"/>
              <w:jc w:val="center"/>
            </w:pP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合计</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一般公共预算</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政府性基金预算</w:t>
            </w:r>
          </w:p>
        </w:tc>
        <w:tc>
          <w:tcPr>
            <w:tcW w:w="120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国有资本经营预算</w:t>
            </w:r>
          </w:p>
        </w:tc>
        <w:tc>
          <w:tcPr>
            <w:tcW w:w="755" w:type="dxa"/>
            <w:vMerge w:val="continue"/>
            <w:tcBorders>
              <w:top w:val="nil"/>
              <w:left w:val="single" w:color="000000" w:sz="6" w:space="0"/>
              <w:bottom w:val="single" w:color="000000" w:sz="6" w:space="0"/>
              <w:right w:val="single" w:color="000000" w:sz="6" w:space="0"/>
            </w:tcBorders>
          </w:tcPr>
          <w:p>
            <w:pPr>
              <w:spacing w:after="0" w:line="240" w:lineRule="auto"/>
              <w:jc w:val="center"/>
            </w:pPr>
          </w:p>
        </w:tc>
        <w:tc>
          <w:tcPr>
            <w:tcW w:w="755" w:type="dxa"/>
            <w:vMerge w:val="continue"/>
            <w:tcBorders>
              <w:top w:val="nil"/>
              <w:left w:val="single" w:color="000000" w:sz="6" w:space="0"/>
              <w:bottom w:val="single" w:color="000000" w:sz="6" w:space="0"/>
              <w:right w:val="single" w:color="000000" w:sz="6" w:space="0"/>
            </w:tcBorders>
          </w:tcPr>
          <w:p>
            <w:pPr>
              <w:spacing w:after="0" w:line="240" w:lineRule="auto"/>
              <w:jc w:val="center"/>
            </w:pPr>
          </w:p>
        </w:tc>
        <w:tc>
          <w:tcPr>
            <w:tcW w:w="4984" w:type="dxa"/>
            <w:vMerge w:val="continue"/>
            <w:tcBorders>
              <w:top w:val="nil"/>
              <w:left w:val="single" w:color="000000" w:sz="6" w:space="0"/>
              <w:bottom w:val="single" w:color="000000" w:sz="6" w:space="0"/>
              <w:right w:val="single" w:color="000000" w:sz="6" w:space="0"/>
            </w:tcBorders>
          </w:tcPr>
          <w:p>
            <w:pPr>
              <w:spacing w:after="0" w:line="240" w:lineRule="auto"/>
              <w:jc w:val="center"/>
            </w:pPr>
          </w:p>
        </w:tc>
      </w:tr>
      <w:tr>
        <w:tblPrEx>
          <w:tblLayout w:type="fixed"/>
          <w:tblCellMar>
            <w:top w:w="63" w:type="dxa"/>
            <w:left w:w="8" w:type="dxa"/>
            <w:bottom w:w="0" w:type="dxa"/>
            <w:right w:w="8" w:type="dxa"/>
          </w:tblCellMar>
        </w:tblPrEx>
        <w:trPr>
          <w:trHeight w:val="327" w:hRule="atLeast"/>
        </w:trPr>
        <w:tc>
          <w:tcPr>
            <w:tcW w:w="256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合计</w:t>
            </w:r>
          </w:p>
        </w:tc>
        <w:tc>
          <w:tcPr>
            <w:tcW w:w="120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915.00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20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4984"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p>
        </w:tc>
      </w:tr>
      <w:tr>
        <w:tblPrEx>
          <w:tblLayout w:type="fixed"/>
          <w:tblCellMar>
            <w:top w:w="63" w:type="dxa"/>
            <w:left w:w="8" w:type="dxa"/>
            <w:bottom w:w="0" w:type="dxa"/>
            <w:right w:w="8" w:type="dxa"/>
          </w:tblCellMar>
        </w:tblPrEx>
        <w:trPr>
          <w:trHeight w:val="327" w:hRule="atLeast"/>
        </w:trPr>
        <w:tc>
          <w:tcPr>
            <w:tcW w:w="256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补充办公经费</w:t>
            </w:r>
          </w:p>
        </w:tc>
        <w:tc>
          <w:tcPr>
            <w:tcW w:w="120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1209"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tcPr>
          <w:p>
            <w:pPr>
              <w:spacing w:after="0" w:line="240" w:lineRule="auto"/>
              <w:jc w:val="center"/>
            </w:pPr>
            <w:r>
              <w:rPr>
                <w:rFonts w:ascii="宋体" w:hAnsi="宋体" w:eastAsia="宋体" w:cs="宋体"/>
                <w:sz w:val="20"/>
              </w:rPr>
              <w:t>0.00</w:t>
            </w:r>
          </w:p>
        </w:tc>
        <w:tc>
          <w:tcPr>
            <w:tcW w:w="498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lang w:eastAsia="zh-CN"/>
              </w:rPr>
            </w:pPr>
            <w:r>
              <w:rPr>
                <w:rFonts w:ascii="宋体" w:hAnsi="宋体" w:eastAsia="宋体" w:cs="宋体"/>
                <w:sz w:val="20"/>
                <w:lang w:eastAsia="zh-CN"/>
              </w:rPr>
              <w:t>补充办公、办案经费，保证机关日常工作正常运转。</w:t>
            </w:r>
          </w:p>
        </w:tc>
      </w:tr>
      <w:tr>
        <w:tblPrEx>
          <w:tblLayout w:type="fixed"/>
          <w:tblCellMar>
            <w:top w:w="63" w:type="dxa"/>
            <w:left w:w="8" w:type="dxa"/>
            <w:bottom w:w="0" w:type="dxa"/>
            <w:right w:w="8" w:type="dxa"/>
          </w:tblCellMar>
        </w:tblPrEx>
        <w:trPr>
          <w:trHeight w:val="639" w:hRule="atLeast"/>
        </w:trPr>
        <w:tc>
          <w:tcPr>
            <w:tcW w:w="256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巡察经费</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55.00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55.00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55.00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498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lang w:eastAsia="zh-CN"/>
              </w:rPr>
            </w:pPr>
            <w:r>
              <w:rPr>
                <w:rFonts w:ascii="宋体" w:hAnsi="宋体" w:eastAsia="宋体" w:cs="宋体"/>
                <w:sz w:val="20"/>
                <w:lang w:eastAsia="zh-CN"/>
              </w:rPr>
              <w:t>用于巡察餐费和异地巡察每人每天80元市内交通费等，推进巡察工作高质量发展。</w:t>
            </w:r>
          </w:p>
        </w:tc>
      </w:tr>
      <w:tr>
        <w:tblPrEx>
          <w:tblLayout w:type="fixed"/>
          <w:tblCellMar>
            <w:top w:w="63" w:type="dxa"/>
            <w:left w:w="8" w:type="dxa"/>
            <w:bottom w:w="0" w:type="dxa"/>
            <w:right w:w="8" w:type="dxa"/>
          </w:tblCellMar>
        </w:tblPrEx>
        <w:trPr>
          <w:trHeight w:val="639" w:hRule="atLeast"/>
        </w:trPr>
        <w:tc>
          <w:tcPr>
            <w:tcW w:w="256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非税安排资金</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400.00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4984"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lang w:eastAsia="zh-CN"/>
              </w:rPr>
            </w:pPr>
            <w:r>
              <w:rPr>
                <w:rFonts w:ascii="宋体" w:hAnsi="宋体" w:eastAsia="宋体" w:cs="宋体"/>
                <w:sz w:val="20"/>
                <w:lang w:eastAsia="zh-CN"/>
              </w:rPr>
              <w:t>用于部门办案经费和补充经费，以推进纪检监察工作高质量发展。</w:t>
            </w:r>
          </w:p>
        </w:tc>
      </w:tr>
      <w:tr>
        <w:tblPrEx>
          <w:tblLayout w:type="fixed"/>
          <w:tblCellMar>
            <w:top w:w="63" w:type="dxa"/>
            <w:left w:w="8" w:type="dxa"/>
            <w:bottom w:w="0" w:type="dxa"/>
            <w:right w:w="8" w:type="dxa"/>
          </w:tblCellMar>
        </w:tblPrEx>
        <w:trPr>
          <w:trHeight w:val="951" w:hRule="atLeast"/>
        </w:trPr>
        <w:tc>
          <w:tcPr>
            <w:tcW w:w="2569" w:type="dxa"/>
            <w:tcBorders>
              <w:top w:val="single" w:color="000000" w:sz="6" w:space="0"/>
              <w:left w:val="single" w:color="000000" w:sz="6" w:space="0"/>
              <w:bottom w:val="single" w:color="000000" w:sz="6" w:space="0"/>
              <w:right w:val="single" w:color="000000" w:sz="6" w:space="0"/>
            </w:tcBorders>
          </w:tcPr>
          <w:p>
            <w:pPr>
              <w:spacing w:after="0" w:line="240" w:lineRule="auto"/>
              <w:jc w:val="center"/>
              <w:rPr>
                <w:rFonts w:ascii="宋体" w:hAnsi="宋体" w:eastAsia="宋体" w:cs="宋体"/>
                <w:sz w:val="20"/>
                <w:lang w:eastAsia="zh-CN"/>
              </w:rPr>
            </w:pPr>
            <w:r>
              <w:rPr>
                <w:rFonts w:ascii="宋体" w:hAnsi="宋体" w:eastAsia="宋体" w:cs="宋体"/>
                <w:sz w:val="20"/>
                <w:lang w:eastAsia="zh-CN"/>
              </w:rPr>
              <w:t>提前下达2024年省级政法</w:t>
            </w:r>
          </w:p>
          <w:p>
            <w:pPr>
              <w:spacing w:after="0" w:line="240" w:lineRule="auto"/>
              <w:jc w:val="center"/>
              <w:rPr>
                <w:rFonts w:ascii="宋体" w:hAnsi="宋体" w:eastAsia="宋体" w:cs="宋体"/>
                <w:sz w:val="20"/>
                <w:lang w:eastAsia="zh-CN"/>
              </w:rPr>
            </w:pPr>
            <w:r>
              <w:rPr>
                <w:rFonts w:ascii="宋体" w:hAnsi="宋体" w:eastAsia="宋体" w:cs="宋体"/>
                <w:sz w:val="20"/>
                <w:lang w:eastAsia="zh-CN"/>
              </w:rPr>
              <w:t>纪检监察转移支付资金</w:t>
            </w:r>
          </w:p>
          <w:p>
            <w:pPr>
              <w:spacing w:after="0" w:line="240" w:lineRule="auto"/>
              <w:jc w:val="center"/>
              <w:rPr>
                <w:lang w:eastAsia="zh-CN"/>
              </w:rPr>
            </w:pPr>
            <w:r>
              <w:rPr>
                <w:rFonts w:ascii="宋体" w:hAnsi="宋体" w:eastAsia="宋体" w:cs="宋体"/>
                <w:sz w:val="20"/>
                <w:lang w:eastAsia="zh-CN"/>
              </w:rPr>
              <w:t>（纪检监察）</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60.00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60.00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60.00</w:t>
            </w:r>
          </w:p>
        </w:tc>
        <w:tc>
          <w:tcPr>
            <w:tcW w:w="1208"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1209"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755"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pPr>
            <w:r>
              <w:rPr>
                <w:rFonts w:ascii="宋体" w:hAnsi="宋体" w:eastAsia="宋体" w:cs="宋体"/>
                <w:sz w:val="20"/>
              </w:rPr>
              <w:t>0.00</w:t>
            </w:r>
          </w:p>
        </w:tc>
        <w:tc>
          <w:tcPr>
            <w:tcW w:w="4984" w:type="dxa"/>
            <w:tcBorders>
              <w:top w:val="single" w:color="000000" w:sz="6" w:space="0"/>
              <w:left w:val="single" w:color="000000" w:sz="6" w:space="0"/>
              <w:bottom w:val="single" w:color="000000" w:sz="6" w:space="0"/>
              <w:right w:val="single" w:color="000000" w:sz="6" w:space="0"/>
            </w:tcBorders>
            <w:vAlign w:val="center"/>
          </w:tcPr>
          <w:p>
            <w:pPr>
              <w:spacing w:after="0" w:line="240" w:lineRule="auto"/>
              <w:jc w:val="center"/>
              <w:rPr>
                <w:lang w:eastAsia="zh-CN"/>
              </w:rPr>
            </w:pPr>
            <w:r>
              <w:rPr>
                <w:rFonts w:ascii="宋体" w:hAnsi="宋体" w:eastAsia="宋体" w:cs="宋体"/>
                <w:sz w:val="20"/>
                <w:lang w:eastAsia="zh-CN"/>
              </w:rPr>
              <w:t>改善办案条件和办案环境，包括购置设备、补助办案业务经费等</w:t>
            </w:r>
          </w:p>
        </w:tc>
      </w:tr>
    </w:tbl>
    <w:p>
      <w:pPr>
        <w:spacing w:after="3"/>
        <w:ind w:left="141" w:leftChars="64" w:right="-77" w:firstLine="318" w:firstLineChars="177"/>
        <w:rPr>
          <w:lang w:eastAsia="zh-CN"/>
        </w:rPr>
      </w:pPr>
      <w:r>
        <w:rPr>
          <w:rFonts w:ascii="宋体" w:hAnsi="宋体" w:eastAsia="宋体" w:cs="宋体"/>
          <w:sz w:val="18"/>
          <w:lang w:eastAsia="zh-CN"/>
        </w:rPr>
        <w:t>注：本表反映本部门一般公共预算项目支出情况。</w:t>
      </w:r>
    </w:p>
    <w:p>
      <w:pPr>
        <w:ind w:left="141" w:leftChars="64" w:right="-77" w:firstLine="389" w:firstLineChars="177"/>
        <w:rPr>
          <w:lang w:eastAsia="zh-CN"/>
        </w:rPr>
        <w:sectPr>
          <w:headerReference r:id="rId11" w:type="first"/>
          <w:footerReference r:id="rId14" w:type="first"/>
          <w:headerReference r:id="rId9" w:type="default"/>
          <w:footerReference r:id="rId12" w:type="default"/>
          <w:headerReference r:id="rId10" w:type="even"/>
          <w:footerReference r:id="rId13" w:type="even"/>
          <w:pgSz w:w="16838" w:h="11906" w:orient="landscape"/>
          <w:pgMar w:top="1004" w:right="879" w:bottom="1134" w:left="839" w:header="567" w:footer="193" w:gutter="0"/>
          <w:cols w:space="720" w:num="1"/>
          <w:docGrid w:linePitch="299" w:charSpace="0"/>
        </w:sectPr>
      </w:pPr>
    </w:p>
    <w:p>
      <w:pPr>
        <w:pStyle w:val="2"/>
        <w:spacing w:after="0" w:line="600" w:lineRule="exact"/>
        <w:ind w:left="0" w:firstLine="0"/>
        <w:rPr>
          <w:rFonts w:hint="eastAsia" w:ascii="NEU-BZ-S92" w:hAnsi="NEU-BZ-S92" w:eastAsia="方正小标宋简体"/>
          <w:szCs w:val="32"/>
          <w:lang w:eastAsia="zh-CN"/>
        </w:rPr>
      </w:pPr>
      <w:r>
        <w:rPr>
          <w:rFonts w:hint="eastAsia" w:ascii="NEU-BZ-S92" w:hAnsi="NEU-BZ-S92" w:eastAsia="方正小标宋简体"/>
          <w:szCs w:val="32"/>
          <w:lang w:eastAsia="zh-CN"/>
        </w:rPr>
        <w:t>第三部分 2024年部门预算情况说明</w:t>
      </w:r>
    </w:p>
    <w:p>
      <w:pPr>
        <w:rPr>
          <w:rFonts w:hint="eastAsia" w:ascii="NEU-BZ-S92" w:hAnsi="NEU-BZ-S92" w:eastAsiaTheme="minorEastAsia"/>
          <w:lang w:eastAsia="zh-CN"/>
        </w:rPr>
      </w:pP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一、部门预算收支增减变化情况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2024年本部门收入预算3,293.04万元，比上年减少36.02万元，下降1.08%，主要原因是上年建设了普宁市纪委附属楼修缮提升及配套项目建设；支出预算3,293.04万元，比上年减少36.02万元，下降1.08%，主要原因是上年建设了普宁市纪委附属楼修缮提升及配套项目建设。</w:t>
      </w: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二、“三公”经费安排情况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2024年本部门财政拨款安排“三公”经费11万元，比上年增加0万元，增长0%，主要原因是与上年持平，无增减变化。其中：因公出国（境）费0万元，比上年增加0万元，增长--（基数为0，不可比），主要原因是与上年持平，无增减变化；公务用车购置及运行维护费11万元（公务用车购置费0万元，比上年增加0万元；公务用车运行维护费11万元，比上年增加0万元。）比上年增加0万元，增长0%，主要原因是与上年持平，无增减变化；公务接待费0万元，比上年增加0万元，增长--（基数为0，不可比），主要原因是与上年持平，无增减变化。</w:t>
      </w: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三、机关运行经费安排情况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行政经费（机关运行经费）指用于维持行政（参公）单位机关运行的经费。具体包括：办公费、印刷费、水费、电费、邮电费、取暖费、物业管理费、差旅费、因公出国（境）费用、维修（护）费、租赁费、会议费、培训费、公务接待费、专用材料费、被装购置费、福利费、公务用车运行维护费、其他交通费用、医疗费补助、办公设备购置、专用设备购置、信息网络及软件购置更新、公务用车购置、其他交通工具购置经济科目对应的预算资金。2024年，本部门机关运行经费安排1,002.36万元，比上年增加52.22万元，增长5.50%，主要原因是人员增加，公用经费增加。</w:t>
      </w: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四、政府采购情况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2024年本部门政府采购安排12.92万元，其中：货物类采购预算12.92万元，工程类采购预算0万元，服务类采购预算0万元等。</w:t>
      </w: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五、国有资产占有使用情况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截至2023年12月1日，本部门固定资产金额6,074.70万元，分布构成情况为：房屋9,668.90平方米，车辆11辆，单价在100万元以上的设备1台等。本年度拟购置固定资产6.27万元，主要是打印机、笔记本电脑等。</w:t>
      </w:r>
    </w:p>
    <w:p>
      <w:pPr>
        <w:pStyle w:val="3"/>
        <w:spacing w:after="0" w:line="600" w:lineRule="exact"/>
        <w:ind w:left="0" w:firstLine="640" w:firstLineChars="200"/>
        <w:rPr>
          <w:rFonts w:hint="eastAsia" w:ascii="NEU-BZ-S92" w:hAnsi="NEU-BZ-S92" w:eastAsia="方正黑体_GBK"/>
          <w:szCs w:val="32"/>
          <w:lang w:eastAsia="zh-CN"/>
        </w:rPr>
      </w:pPr>
      <w:r>
        <w:rPr>
          <w:rFonts w:hint="eastAsia" w:ascii="NEU-BZ-S92" w:hAnsi="NEU-BZ-S92" w:eastAsia="方正黑体_GBK"/>
          <w:szCs w:val="32"/>
          <w:lang w:eastAsia="zh-CN"/>
        </w:rPr>
        <w:t>六、重点项目预算绩效目标情况</w:t>
      </w:r>
    </w:p>
    <w:p>
      <w:pPr>
        <w:spacing w:after="0" w:line="600" w:lineRule="exact"/>
        <w:ind w:firstLine="640" w:firstLineChars="200"/>
        <w:rPr>
          <w:rFonts w:hint="eastAsia" w:ascii="NEU-BZ-S92" w:hAnsi="NEU-BZ-S92" w:eastAsia="方正仿宋简体"/>
          <w:sz w:val="32"/>
          <w:szCs w:val="32"/>
          <w:lang w:eastAsia="zh-CN"/>
        </w:rPr>
      </w:pPr>
      <w:r>
        <w:rPr>
          <w:rFonts w:hint="eastAsia" w:ascii="NEU-BZ-S92" w:hAnsi="NEU-BZ-S92" w:eastAsia="方正仿宋简体" w:cs="微软雅黑"/>
          <w:sz w:val="32"/>
          <w:szCs w:val="32"/>
          <w:lang w:eastAsia="zh-CN"/>
        </w:rPr>
        <w:t>2024年，本部门重点项目绩效目标情况如下：</w:t>
      </w:r>
    </w:p>
    <w:tbl>
      <w:tblPr>
        <w:tblStyle w:val="12"/>
        <w:tblW w:w="8575" w:type="dxa"/>
        <w:tblInd w:w="8" w:type="dxa"/>
        <w:tblLayout w:type="fixed"/>
        <w:tblCellMar>
          <w:top w:w="63" w:type="dxa"/>
          <w:left w:w="0" w:type="dxa"/>
          <w:bottom w:w="0" w:type="dxa"/>
          <w:right w:w="71" w:type="dxa"/>
        </w:tblCellMar>
      </w:tblPr>
      <w:tblGrid>
        <w:gridCol w:w="1805"/>
        <w:gridCol w:w="3686"/>
        <w:gridCol w:w="754"/>
        <w:gridCol w:w="2330"/>
      </w:tblGrid>
      <w:tr>
        <w:tblPrEx>
          <w:tblLayout w:type="fixed"/>
          <w:tblCellMar>
            <w:top w:w="63" w:type="dxa"/>
            <w:left w:w="0" w:type="dxa"/>
            <w:bottom w:w="0" w:type="dxa"/>
            <w:right w:w="71" w:type="dxa"/>
          </w:tblCellMar>
        </w:tblPrEx>
        <w:trPr>
          <w:trHeight w:val="327" w:hRule="atLeast"/>
        </w:trPr>
        <w:tc>
          <w:tcPr>
            <w:tcW w:w="1805" w:type="dxa"/>
            <w:tcBorders>
              <w:top w:val="single" w:color="000000" w:sz="6" w:space="0"/>
              <w:left w:val="single" w:color="000000" w:sz="6" w:space="0"/>
              <w:bottom w:val="single" w:color="000000" w:sz="6" w:space="0"/>
              <w:right w:val="single" w:color="000000" w:sz="6" w:space="0"/>
            </w:tcBorders>
            <w:vAlign w:val="center"/>
          </w:tcPr>
          <w:p>
            <w:pPr>
              <w:spacing w:after="0" w:line="600" w:lineRule="exact"/>
              <w:ind w:firstLine="640" w:firstLineChars="200"/>
              <w:jc w:val="center"/>
              <w:rPr>
                <w:rFonts w:hint="eastAsia" w:ascii="NEU-BZ-S92" w:hAnsi="NEU-BZ-S92" w:eastAsia="方正仿宋简体"/>
                <w:sz w:val="32"/>
                <w:szCs w:val="32"/>
              </w:rPr>
            </w:pPr>
            <w:r>
              <w:rPr>
                <w:rFonts w:hint="eastAsia" w:ascii="NEU-BZ-S92" w:hAnsi="NEU-BZ-S92" w:eastAsia="方正仿宋简体" w:cs="宋体"/>
                <w:sz w:val="32"/>
                <w:szCs w:val="32"/>
              </w:rPr>
              <w:t>项目</w:t>
            </w:r>
          </w:p>
        </w:tc>
        <w:tc>
          <w:tcPr>
            <w:tcW w:w="3686" w:type="dxa"/>
            <w:tcBorders>
              <w:top w:val="single" w:color="000000" w:sz="6" w:space="0"/>
              <w:left w:val="single" w:color="000000" w:sz="6" w:space="0"/>
              <w:bottom w:val="single" w:color="000000" w:sz="6" w:space="0"/>
              <w:right w:val="single" w:color="000000" w:sz="6" w:space="0"/>
            </w:tcBorders>
            <w:vAlign w:val="center"/>
          </w:tcPr>
          <w:p>
            <w:pPr>
              <w:spacing w:after="0" w:line="300" w:lineRule="exact"/>
              <w:jc w:val="center"/>
              <w:rPr>
                <w:rFonts w:hint="eastAsia" w:ascii="NEU-BZ-S92" w:hAnsi="NEU-BZ-S92" w:eastAsia="方正仿宋简体" w:cs="宋体"/>
                <w:sz w:val="32"/>
                <w:szCs w:val="32"/>
                <w:lang w:eastAsia="zh-CN"/>
              </w:rPr>
            </w:pPr>
            <w:r>
              <w:rPr>
                <w:rFonts w:hint="eastAsia" w:ascii="NEU-BZ-S92" w:hAnsi="NEU-BZ-S92" w:eastAsia="方正仿宋简体" w:cs="宋体"/>
                <w:sz w:val="32"/>
                <w:szCs w:val="32"/>
                <w:lang w:eastAsia="zh-CN"/>
              </w:rPr>
              <w:t>预算数（单位：万元）</w:t>
            </w:r>
          </w:p>
        </w:tc>
        <w:tc>
          <w:tcPr>
            <w:tcW w:w="754" w:type="dxa"/>
            <w:tcBorders>
              <w:top w:val="single" w:color="000000" w:sz="6" w:space="0"/>
              <w:left w:val="single" w:color="000000" w:sz="6" w:space="0"/>
              <w:bottom w:val="single" w:color="000000" w:sz="6" w:space="0"/>
              <w:right w:val="nil"/>
            </w:tcBorders>
            <w:vAlign w:val="center"/>
          </w:tcPr>
          <w:p>
            <w:pPr>
              <w:spacing w:after="0" w:line="600" w:lineRule="exact"/>
              <w:ind w:firstLine="640" w:firstLineChars="200"/>
              <w:jc w:val="center"/>
              <w:rPr>
                <w:rFonts w:hint="eastAsia" w:ascii="NEU-BZ-S92" w:hAnsi="NEU-BZ-S92" w:eastAsia="方正仿宋简体"/>
                <w:sz w:val="32"/>
                <w:szCs w:val="32"/>
                <w:lang w:eastAsia="zh-CN"/>
              </w:rPr>
            </w:pPr>
          </w:p>
        </w:tc>
        <w:tc>
          <w:tcPr>
            <w:tcW w:w="2330" w:type="dxa"/>
            <w:tcBorders>
              <w:top w:val="single" w:color="000000" w:sz="6" w:space="0"/>
              <w:left w:val="nil"/>
              <w:bottom w:val="single" w:color="000000" w:sz="6" w:space="0"/>
              <w:right w:val="single" w:color="000000" w:sz="6" w:space="0"/>
            </w:tcBorders>
            <w:vAlign w:val="center"/>
          </w:tcPr>
          <w:p>
            <w:pPr>
              <w:spacing w:after="0" w:line="600" w:lineRule="exact"/>
              <w:rPr>
                <w:rFonts w:hint="eastAsia" w:ascii="NEU-BZ-S92" w:hAnsi="NEU-BZ-S92" w:eastAsia="方正仿宋简体"/>
                <w:sz w:val="32"/>
                <w:szCs w:val="32"/>
              </w:rPr>
            </w:pPr>
            <w:r>
              <w:rPr>
                <w:rFonts w:hint="eastAsia" w:ascii="NEU-BZ-S92" w:hAnsi="NEU-BZ-S92" w:eastAsia="方正仿宋简体" w:cs="宋体"/>
                <w:sz w:val="32"/>
                <w:szCs w:val="32"/>
              </w:rPr>
              <w:t>绩效目标</w:t>
            </w:r>
          </w:p>
        </w:tc>
      </w:tr>
      <w:tr>
        <w:tblPrEx>
          <w:tblLayout w:type="fixed"/>
          <w:tblCellMar>
            <w:top w:w="63" w:type="dxa"/>
            <w:left w:w="0" w:type="dxa"/>
            <w:bottom w:w="0" w:type="dxa"/>
            <w:right w:w="71" w:type="dxa"/>
          </w:tblCellMar>
        </w:tblPrEx>
        <w:trPr>
          <w:trHeight w:val="327" w:hRule="atLeast"/>
        </w:trPr>
        <w:tc>
          <w:tcPr>
            <w:tcW w:w="1805" w:type="dxa"/>
            <w:tcBorders>
              <w:top w:val="single" w:color="000000" w:sz="6" w:space="0"/>
              <w:left w:val="single" w:color="000000" w:sz="6" w:space="0"/>
              <w:bottom w:val="single" w:color="000000" w:sz="6" w:space="0"/>
              <w:right w:val="single" w:color="000000" w:sz="6" w:space="0"/>
            </w:tcBorders>
            <w:vAlign w:val="center"/>
          </w:tcPr>
          <w:p>
            <w:pPr>
              <w:spacing w:after="0" w:line="600" w:lineRule="exact"/>
              <w:ind w:firstLine="640" w:firstLineChars="200"/>
              <w:jc w:val="center"/>
              <w:rPr>
                <w:rFonts w:hint="eastAsia" w:ascii="NEU-BZ-S92" w:hAnsi="NEU-BZ-S92" w:eastAsia="方正仿宋简体"/>
                <w:sz w:val="32"/>
                <w:szCs w:val="32"/>
              </w:rPr>
            </w:pPr>
            <w:r>
              <w:rPr>
                <w:rFonts w:hint="eastAsia" w:ascii="NEU-BZ-S92" w:hAnsi="NEU-BZ-S92" w:eastAsia="方正仿宋简体" w:cs="宋体"/>
                <w:sz w:val="32"/>
                <w:szCs w:val="32"/>
              </w:rPr>
              <w:t>无</w:t>
            </w:r>
          </w:p>
        </w:tc>
        <w:tc>
          <w:tcPr>
            <w:tcW w:w="3686" w:type="dxa"/>
            <w:tcBorders>
              <w:top w:val="single" w:color="000000" w:sz="6" w:space="0"/>
              <w:left w:val="single" w:color="000000" w:sz="6" w:space="0"/>
              <w:bottom w:val="single" w:color="000000" w:sz="6" w:space="0"/>
              <w:right w:val="single" w:color="000000" w:sz="6" w:space="0"/>
            </w:tcBorders>
            <w:vAlign w:val="center"/>
          </w:tcPr>
          <w:p>
            <w:pPr>
              <w:spacing w:after="0" w:line="600" w:lineRule="exact"/>
              <w:ind w:firstLine="640" w:firstLineChars="200"/>
              <w:jc w:val="center"/>
              <w:rPr>
                <w:rFonts w:hint="eastAsia" w:ascii="NEU-BZ-S92" w:hAnsi="NEU-BZ-S92" w:eastAsia="方正仿宋简体"/>
                <w:sz w:val="32"/>
                <w:szCs w:val="32"/>
              </w:rPr>
            </w:pPr>
            <w:r>
              <w:rPr>
                <w:rFonts w:hint="eastAsia" w:ascii="NEU-BZ-S92" w:hAnsi="NEU-BZ-S92" w:eastAsia="方正仿宋简体" w:cs="宋体"/>
                <w:sz w:val="32"/>
                <w:szCs w:val="32"/>
              </w:rPr>
              <w:t>0</w:t>
            </w:r>
          </w:p>
        </w:tc>
        <w:tc>
          <w:tcPr>
            <w:tcW w:w="754" w:type="dxa"/>
            <w:tcBorders>
              <w:top w:val="single" w:color="000000" w:sz="6" w:space="0"/>
              <w:left w:val="single" w:color="000000" w:sz="6" w:space="0"/>
              <w:bottom w:val="single" w:color="000000" w:sz="6" w:space="0"/>
              <w:right w:val="nil"/>
            </w:tcBorders>
            <w:vAlign w:val="center"/>
          </w:tcPr>
          <w:p>
            <w:pPr>
              <w:spacing w:after="0" w:line="600" w:lineRule="exact"/>
              <w:ind w:left="880" w:leftChars="400" w:firstLine="320" w:firstLineChars="100"/>
              <w:jc w:val="center"/>
              <w:rPr>
                <w:rFonts w:hint="eastAsia" w:ascii="NEU-BZ-S92" w:hAnsi="NEU-BZ-S92" w:eastAsia="方正仿宋简体"/>
                <w:sz w:val="32"/>
                <w:szCs w:val="32"/>
              </w:rPr>
            </w:pPr>
            <w:r>
              <w:rPr>
                <w:rFonts w:hint="eastAsia" w:ascii="NEU-BZ-S92" w:hAnsi="NEU-BZ-S92" w:eastAsia="方正仿宋简体" w:cs="宋体"/>
                <w:sz w:val="32"/>
                <w:szCs w:val="32"/>
              </w:rPr>
              <w:t>无</w:t>
            </w:r>
          </w:p>
        </w:tc>
        <w:tc>
          <w:tcPr>
            <w:tcW w:w="2330" w:type="dxa"/>
            <w:tcBorders>
              <w:top w:val="single" w:color="000000" w:sz="6" w:space="0"/>
              <w:left w:val="nil"/>
              <w:bottom w:val="single" w:color="000000" w:sz="6" w:space="0"/>
              <w:right w:val="single" w:color="000000" w:sz="6" w:space="0"/>
            </w:tcBorders>
            <w:vAlign w:val="center"/>
          </w:tcPr>
          <w:p>
            <w:pPr>
              <w:spacing w:after="0" w:line="600" w:lineRule="exact"/>
              <w:ind w:firstLine="640" w:firstLineChars="200"/>
              <w:rPr>
                <w:rFonts w:hint="eastAsia" w:ascii="NEU-BZ-S92" w:hAnsi="NEU-BZ-S92" w:eastAsia="方正仿宋简体"/>
                <w:sz w:val="32"/>
                <w:szCs w:val="32"/>
              </w:rPr>
            </w:pPr>
            <w:r>
              <w:rPr>
                <w:rFonts w:hint="eastAsia" w:ascii="NEU-BZ-S92" w:hAnsi="NEU-BZ-S92" w:eastAsia="方正仿宋简体"/>
                <w:sz w:val="32"/>
                <w:szCs w:val="32"/>
              </w:rPr>
              <w:t>无</w:t>
            </w:r>
          </w:p>
        </w:tc>
      </w:tr>
    </w:tbl>
    <w:p>
      <w:pPr>
        <w:spacing w:after="0" w:line="600" w:lineRule="exact"/>
        <w:ind w:firstLine="640" w:firstLineChars="200"/>
        <w:rPr>
          <w:rFonts w:ascii="NEU-BZ-S92" w:hAnsi="NEU-BZ-S92" w:eastAsia="方正仿宋简体" w:cs="宋体"/>
          <w:sz w:val="32"/>
          <w:szCs w:val="32"/>
          <w:lang w:eastAsia="zh-CN"/>
        </w:rPr>
      </w:pPr>
      <w:r>
        <w:rPr>
          <w:rFonts w:hint="eastAsia" w:ascii="NEU-BZ-S92" w:hAnsi="NEU-BZ-S92" w:eastAsia="方正仿宋简体" w:cs="宋体"/>
          <w:sz w:val="32"/>
          <w:szCs w:val="32"/>
          <w:lang w:eastAsia="zh-CN"/>
        </w:rPr>
        <w:t>注：本年度无重点项目。</w:t>
      </w:r>
    </w:p>
    <w:p>
      <w:pPr>
        <w:spacing w:after="0" w:line="600" w:lineRule="exact"/>
        <w:ind w:firstLine="640" w:firstLineChars="200"/>
        <w:rPr>
          <w:rFonts w:ascii="NEU-BZ-S92" w:hAnsi="NEU-BZ-S92" w:eastAsia="方正仿宋简体" w:cs="宋体"/>
          <w:sz w:val="32"/>
          <w:szCs w:val="32"/>
          <w:lang w:eastAsia="zh-CN"/>
        </w:rPr>
      </w:pPr>
    </w:p>
    <w:p>
      <w:pPr>
        <w:spacing w:after="0" w:line="600" w:lineRule="exact"/>
        <w:ind w:firstLine="640" w:firstLineChars="200"/>
        <w:rPr>
          <w:rFonts w:hint="eastAsia" w:ascii="NEU-BZ-S92" w:hAnsi="NEU-BZ-S92" w:eastAsia="方正仿宋简体"/>
          <w:sz w:val="32"/>
          <w:szCs w:val="32"/>
          <w:lang w:eastAsia="zh-CN"/>
        </w:rPr>
      </w:pPr>
    </w:p>
    <w:p>
      <w:pPr>
        <w:pStyle w:val="2"/>
        <w:spacing w:after="0" w:line="600" w:lineRule="exact"/>
        <w:ind w:left="0" w:firstLine="880" w:firstLineChars="200"/>
        <w:rPr>
          <w:rFonts w:ascii="NEU-BZ-S92" w:hAnsi="NEU-BZ-S92" w:eastAsia="方正小标宋简体"/>
          <w:szCs w:val="32"/>
        </w:rPr>
      </w:pPr>
    </w:p>
    <w:p>
      <w:pPr>
        <w:pStyle w:val="2"/>
        <w:spacing w:after="0" w:line="600" w:lineRule="exact"/>
        <w:ind w:left="0" w:firstLine="0"/>
        <w:rPr>
          <w:rFonts w:ascii="NEU-BZ-S92" w:hAnsi="NEU-BZ-S92" w:eastAsia="方正小标宋简体"/>
          <w:szCs w:val="32"/>
        </w:rPr>
      </w:pPr>
      <w:r>
        <w:rPr>
          <w:rFonts w:hint="eastAsia" w:ascii="NEU-BZ-S92" w:hAnsi="NEU-BZ-S92" w:eastAsia="方正小标宋简体"/>
          <w:szCs w:val="32"/>
        </w:rPr>
        <w:t>第四部分 名词解释</w:t>
      </w:r>
    </w:p>
    <w:p>
      <w:pPr>
        <w:spacing w:after="0" w:line="600" w:lineRule="exact"/>
        <w:rPr>
          <w:rFonts w:ascii="NEU-BZ-S92" w:hAnsi="NEU-BZ-S92"/>
        </w:rPr>
      </w:pPr>
    </w:p>
    <w:p>
      <w:pPr>
        <w:pStyle w:val="15"/>
        <w:numPr>
          <w:ilvl w:val="0"/>
          <w:numId w:val="1"/>
        </w:numPr>
        <w:spacing w:after="0" w:line="600" w:lineRule="exact"/>
        <w:ind w:left="0" w:firstLine="640"/>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财政拨款收入:</w:t>
      </w:r>
      <w:r>
        <w:rPr>
          <w:rFonts w:hint="eastAsia" w:ascii="NEU-BZ-S92" w:hAnsi="NEU-BZ-S92" w:eastAsia="方正仿宋简体" w:cs="微软雅黑"/>
          <w:sz w:val="32"/>
          <w:szCs w:val="32"/>
          <w:lang w:eastAsia="zh-CN"/>
        </w:rPr>
        <w:t xml:space="preserve"> 指预算单位从本级财政部门取得的财政预算资金收入。</w:t>
      </w:r>
    </w:p>
    <w:p>
      <w:pPr>
        <w:spacing w:after="0" w:line="600" w:lineRule="exact"/>
        <w:ind w:firstLine="640" w:firstLineChars="200"/>
        <w:rPr>
          <w:rFonts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二、事业收入: </w:t>
      </w:r>
      <w:r>
        <w:rPr>
          <w:rFonts w:hint="eastAsia" w:ascii="NEU-BZ-S92" w:hAnsi="NEU-BZ-S92" w:eastAsia="方正仿宋简体" w:cs="微软雅黑"/>
          <w:sz w:val="32"/>
          <w:szCs w:val="32"/>
          <w:lang w:eastAsia="zh-CN"/>
        </w:rPr>
        <w:t>指事业单位开展专业业务活动及辅助活动所取得的收入。</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三、经营收入: </w:t>
      </w:r>
      <w:r>
        <w:rPr>
          <w:rFonts w:hint="eastAsia" w:ascii="NEU-BZ-S92" w:hAnsi="NEU-BZ-S92" w:eastAsia="方正仿宋简体" w:cs="微软雅黑"/>
          <w:sz w:val="32"/>
          <w:szCs w:val="32"/>
          <w:lang w:eastAsia="zh-CN"/>
        </w:rPr>
        <w:t>指事业单位在专业业务活动及其辅助活动之外开展非独立核算经营活动取得的收入。</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四、其他收入: </w:t>
      </w:r>
      <w:r>
        <w:rPr>
          <w:rFonts w:hint="eastAsia" w:ascii="NEU-BZ-S92" w:hAnsi="NEU-BZ-S92" w:eastAsia="方正仿宋简体" w:cs="微软雅黑"/>
          <w:sz w:val="32"/>
          <w:szCs w:val="32"/>
          <w:lang w:eastAsia="zh-CN"/>
        </w:rPr>
        <w:t>指除上述“财政拨款收入”、“事业收入”、“经营收入”等以外的收入。主要是非本级财政拨款、存款利息收入、事业单位固定资产出租收入等。</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五、用事业基金弥补收支差额: </w:t>
      </w:r>
      <w:r>
        <w:rPr>
          <w:rFonts w:hint="eastAsia" w:ascii="NEU-BZ-S92" w:hAnsi="NEU-BZ-S92" w:eastAsia="方正仿宋简体" w:cs="微软雅黑"/>
          <w:sz w:val="32"/>
          <w:szCs w:val="32"/>
          <w:lang w:eastAsia="zh-CN"/>
        </w:rPr>
        <w:t>指事业单位在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六、基本支出:</w:t>
      </w:r>
      <w:r>
        <w:rPr>
          <w:rFonts w:hint="eastAsia" w:ascii="NEU-BZ-S92" w:hAnsi="NEU-BZ-S92" w:eastAsia="方正仿宋简体" w:cs="微软雅黑"/>
          <w:sz w:val="32"/>
          <w:szCs w:val="32"/>
          <w:lang w:eastAsia="zh-CN"/>
        </w:rPr>
        <w:t xml:space="preserve"> 指为保障机构正常运转、完成日常工作任务而发生的人员支出和公用支出。</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七、项目支出: </w:t>
      </w:r>
      <w:r>
        <w:rPr>
          <w:rFonts w:hint="eastAsia" w:ascii="NEU-BZ-S92" w:hAnsi="NEU-BZ-S92" w:eastAsia="方正仿宋简体" w:cs="微软雅黑"/>
          <w:sz w:val="32"/>
          <w:szCs w:val="32"/>
          <w:lang w:eastAsia="zh-CN"/>
        </w:rPr>
        <w:t>指在基本支出之外为完成特定行政任务和事业发展目标所发生的支出。</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八、经营支出: </w:t>
      </w:r>
      <w:r>
        <w:rPr>
          <w:rFonts w:hint="eastAsia" w:ascii="NEU-BZ-S92" w:hAnsi="NEU-BZ-S92" w:eastAsia="方正仿宋简体" w:cs="微软雅黑"/>
          <w:sz w:val="32"/>
          <w:szCs w:val="32"/>
          <w:lang w:eastAsia="zh-CN"/>
        </w:rPr>
        <w:t>指事业单位在专业业务活动及其辅助活动之外开展非独立核算经营活动所发生的支出。</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九、行政经费（机关运行经费）:</w:t>
      </w:r>
      <w:r>
        <w:rPr>
          <w:rFonts w:hint="eastAsia" w:ascii="NEU-BZ-S92" w:hAnsi="NEU-BZ-S92" w:eastAsia="方正仿宋简体" w:cs="微软雅黑"/>
          <w:sz w:val="32"/>
          <w:szCs w:val="32"/>
          <w:lang w:eastAsia="zh-CN"/>
        </w:rPr>
        <w:t xml:space="preserve"> 指用于维持行政（参公）单位机关运行的经费。具体包括：办公费、印刷费、水费、电费、邮电费、取暖费、物业管理费、差旅费、因公出国（境）费用、维修（护）费、租赁费、会议费、培训费、公务接待费、专用材料费、被装购置费、福利费、公务用车运行维护费、其他交通费用、医疗费补助、办公设备购置、专用设备购置、信息网络及软件购置更新、公务用车购置、其他交通工具购置经济科目对应的预算资金。</w:t>
      </w:r>
    </w:p>
    <w:p>
      <w:pPr>
        <w:spacing w:after="0" w:line="600" w:lineRule="exact"/>
        <w:ind w:firstLine="640" w:firstLineChars="200"/>
        <w:jc w:val="both"/>
        <w:rPr>
          <w:rFonts w:hint="eastAsia" w:ascii="NEU-BZ-S92" w:hAnsi="NEU-BZ-S92" w:eastAsia="方正仿宋简体"/>
          <w:sz w:val="32"/>
          <w:szCs w:val="32"/>
          <w:lang w:eastAsia="zh-CN"/>
        </w:rPr>
      </w:pPr>
      <w:r>
        <w:rPr>
          <w:rFonts w:hint="eastAsia" w:ascii="NEU-BZ-S92" w:hAnsi="NEU-BZ-S92" w:eastAsia="方正黑体_GBK" w:cs="微软雅黑"/>
          <w:sz w:val="32"/>
          <w:szCs w:val="32"/>
          <w:lang w:eastAsia="zh-CN"/>
        </w:rPr>
        <w:t xml:space="preserve">十、“三公”经费: </w:t>
      </w:r>
      <w:r>
        <w:rPr>
          <w:rFonts w:hint="eastAsia" w:ascii="NEU-BZ-S92" w:hAnsi="NEU-BZ-S92" w:eastAsia="方正仿宋简体" w:cs="微软雅黑"/>
          <w:sz w:val="32"/>
          <w:szCs w:val="32"/>
          <w:lang w:eastAsia="zh-CN"/>
        </w:rPr>
        <w:t>“三公”经费指部门（单位）使用财政拨款安排的因公出国（境）费用、公务用车购置及运行维护费和公务接待费。其中：因公出国（境）费用反映公务出国（境）的国际旅费、国外城市间交通费、住宿费、伙食费、培训费、公杂费等支出；公务用车购置费反映公务用车购置支出（含车辆购置税、牌照费），公务用车运行维护费反映按规定保留的公务用车燃料费、维修费、过路过桥费、保险费、安全奖励费用等支出；公务接待费反映按规定开支的各类公务接待（含外宾接待）费用。</w:t>
      </w:r>
    </w:p>
    <w:sectPr>
      <w:headerReference r:id="rId17" w:type="first"/>
      <w:footerReference r:id="rId20" w:type="first"/>
      <w:headerReference r:id="rId15" w:type="default"/>
      <w:footerReference r:id="rId18" w:type="default"/>
      <w:headerReference r:id="rId16" w:type="even"/>
      <w:footerReference r:id="rId19" w:type="even"/>
      <w:pgSz w:w="11906" w:h="16838"/>
      <w:pgMar w:top="840" w:right="1616" w:bottom="968" w:left="1720" w:header="720" w:footer="19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NEU-BZ-S92">
    <w:altName w:val="宋体"/>
    <w:panose1 w:val="03000509000000000000"/>
    <w:charset w:val="86"/>
    <w:family w:val="script"/>
    <w:pitch w:val="default"/>
    <w:sig w:usb0="00000000" w:usb1="00000000" w:usb2="000A005E" w:usb3="00000000" w:csb0="003C0041" w:csb1="00000000"/>
  </w:font>
  <w:font w:name="方正黑体_GBK">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9</w:t>
    </w:r>
    <w:r>
      <w:rPr>
        <w:rFonts w:ascii="Arial" w:hAnsi="Arial" w:eastAsia="Arial" w:cs="Arial"/>
        <w:sz w:val="24"/>
      </w:rPr>
      <w:fldChar w:fldCharType="end"/>
    </w:r>
    <w:r>
      <w:rPr>
        <w:rFonts w:ascii="Arial" w:hAnsi="Arial" w:eastAsia="Arial" w:cs="Arial"/>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8</w:t>
    </w:r>
    <w:r>
      <w:rPr>
        <w:rFonts w:ascii="Arial" w:hAnsi="Arial" w:eastAsia="Arial" w:cs="Arial"/>
        <w:sz w:val="24"/>
      </w:rPr>
      <w:fldChar w:fldCharType="end"/>
    </w:r>
    <w:r>
      <w:rPr>
        <w:rFonts w:ascii="Arial" w:hAnsi="Arial" w:eastAsia="Arial" w:cs="Arial"/>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3</w:t>
    </w:r>
    <w:r>
      <w:rPr>
        <w:rFonts w:ascii="Arial" w:hAnsi="Arial" w:eastAsia="Arial" w:cs="Arial"/>
        <w:sz w:val="24"/>
      </w:rPr>
      <w:fldChar w:fldCharType="end"/>
    </w:r>
    <w:r>
      <w:rPr>
        <w:rFonts w:ascii="Arial" w:hAnsi="Arial" w:eastAsia="Arial" w:cs="Arial"/>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15</w:t>
    </w:r>
    <w:r>
      <w:rPr>
        <w:rFonts w:ascii="Arial" w:hAnsi="Arial" w:eastAsia="Arial" w:cs="Arial"/>
        <w:sz w:val="24"/>
      </w:rPr>
      <w:fldChar w:fldCharType="end"/>
    </w:r>
    <w:r>
      <w:rPr>
        <w:rFonts w:ascii="Arial" w:hAnsi="Arial" w:eastAsia="Arial" w:cs="Arial"/>
        <w:sz w:val="24"/>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16</w:t>
    </w:r>
    <w:r>
      <w:rPr>
        <w:rFonts w:ascii="Arial" w:hAnsi="Arial" w:eastAsia="Arial" w:cs="Arial"/>
        <w:sz w:val="24"/>
      </w:rPr>
      <w:fldChar w:fldCharType="end"/>
    </w:r>
    <w:r>
      <w:rPr>
        <w:rFonts w:ascii="Arial" w:hAnsi="Arial" w:eastAsia="Arial" w:cs="Arial"/>
        <w:sz w:val="24"/>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38"/>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3</w:t>
    </w:r>
    <w:r>
      <w:rPr>
        <w:rFonts w:ascii="Arial" w:hAnsi="Arial" w:eastAsia="Arial" w:cs="Arial"/>
        <w:sz w:val="24"/>
      </w:rPr>
      <w:fldChar w:fldCharType="end"/>
    </w:r>
    <w:r>
      <w:rPr>
        <w:rFonts w:ascii="Arial" w:hAnsi="Arial" w:eastAsia="Arial" w:cs="Arial"/>
        <w:sz w:val="24"/>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104"/>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19</w:t>
    </w:r>
    <w:r>
      <w:rPr>
        <w:rFonts w:ascii="Arial" w:hAnsi="Arial" w:eastAsia="Arial" w:cs="Arial"/>
        <w:sz w:val="24"/>
      </w:rPr>
      <w:fldChar w:fldCharType="end"/>
    </w:r>
    <w:r>
      <w:rPr>
        <w:rFonts w:ascii="Arial" w:hAnsi="Arial" w:eastAsia="Arial" w:cs="Arial"/>
        <w:sz w:val="24"/>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104"/>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20</w:t>
    </w:r>
    <w:r>
      <w:rPr>
        <w:rFonts w:ascii="Arial" w:hAnsi="Arial" w:eastAsia="Arial" w:cs="Arial"/>
        <w:sz w:val="24"/>
      </w:rPr>
      <w:fldChar w:fldCharType="end"/>
    </w:r>
    <w:r>
      <w:rPr>
        <w:rFonts w:ascii="Arial" w:hAnsi="Arial" w:eastAsia="Arial" w:cs="Arial"/>
        <w:sz w:val="24"/>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104"/>
      <w:jc w:val="center"/>
    </w:pPr>
    <w:r>
      <w:rPr>
        <w:rFonts w:ascii="Arial" w:hAnsi="Arial" w:eastAsia="Arial" w:cs="Arial"/>
        <w:sz w:val="24"/>
      </w:rPr>
      <w:t xml:space="preserve">- </w:t>
    </w:r>
    <w:r>
      <w:fldChar w:fldCharType="begin"/>
    </w:r>
    <w:r>
      <w:instrText xml:space="preserve"> PAGE   \* MERGEFORMAT </w:instrText>
    </w:r>
    <w:r>
      <w:fldChar w:fldCharType="separate"/>
    </w:r>
    <w:r>
      <w:rPr>
        <w:rFonts w:ascii="Arial" w:hAnsi="Arial" w:eastAsia="Arial" w:cs="Arial"/>
        <w:sz w:val="24"/>
      </w:rPr>
      <w:t>17</w:t>
    </w:r>
    <w:r>
      <w:rPr>
        <w:rFonts w:ascii="Arial" w:hAnsi="Arial" w:eastAsia="Arial" w:cs="Arial"/>
        <w:sz w:val="24"/>
      </w:rPr>
      <w:fldChar w:fldCharType="end"/>
    </w:r>
    <w:r>
      <w:rPr>
        <w:rFonts w:ascii="Arial" w:hAnsi="Arial" w:eastAsia="Arial" w:cs="Arial"/>
        <w:sz w:val="24"/>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right" w:pos="15120"/>
      </w:tabs>
      <w:spacing w:after="0"/>
      <w:rPr>
        <w:lang w:eastAsia="zh-CN"/>
      </w:rPr>
    </w:pPr>
    <w:r>
      <w:rPr>
        <w:rFonts w:hint="eastAsia" w:ascii="宋体" w:hAnsi="宋体" w:eastAsia="宋体" w:cs="宋体"/>
        <w:sz w:val="24"/>
        <w:lang w:eastAsia="zh-CN"/>
      </w:rPr>
      <w:t>·</w:t>
    </w:r>
    <w:r>
      <w:rPr>
        <w:rFonts w:ascii="宋体" w:hAnsi="宋体" w:eastAsia="宋体" w:cs="宋体"/>
        <w:sz w:val="24"/>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right" w:pos="15120"/>
      </w:tabs>
      <w:spacing w:after="0"/>
      <w:rPr>
        <w:lang w:eastAsia="zh-CN"/>
      </w:rPr>
    </w:pPr>
    <w:r>
      <w:rPr>
        <w:rFonts w:ascii="宋体" w:hAnsi="宋体" w:eastAsia="宋体" w:cs="宋体"/>
        <w:sz w:val="24"/>
        <w:lang w:eastAsia="zh-CN"/>
      </w:rPr>
      <w:t>单位名称：中共普宁市纪律检查委员会办公室</w:t>
    </w:r>
    <w:r>
      <w:rPr>
        <w:rFonts w:ascii="宋体" w:hAnsi="宋体" w:eastAsia="宋体" w:cs="宋体"/>
        <w:sz w:val="24"/>
        <w:lang w:eastAsia="zh-CN"/>
      </w:rPr>
      <w:tab/>
    </w:r>
    <w:r>
      <w:rPr>
        <w:rFonts w:ascii="宋体" w:hAnsi="宋体" w:eastAsia="宋体" w:cs="宋体"/>
        <w:sz w:val="24"/>
        <w:lang w:eastAsia="zh-CN"/>
      </w:rPr>
      <w:t>单位：万元</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60EE1"/>
    <w:multiLevelType w:val="multilevel"/>
    <w:tmpl w:val="3D260EE1"/>
    <w:lvl w:ilvl="0" w:tentative="0">
      <w:start w:val="1"/>
      <w:numFmt w:val="japaneseCounting"/>
      <w:lvlText w:val="%1、"/>
      <w:lvlJc w:val="left"/>
      <w:pPr>
        <w:ind w:left="1360" w:hanging="720"/>
      </w:pPr>
      <w:rPr>
        <w:rFonts w:hint="default" w:ascii="方正黑体_GBK" w:hAnsi="微软雅黑" w:eastAsia="方正黑体_GBK" w:cs="微软雅黑"/>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evenAndOddHeaders w:val="1"/>
  <w:characterSpacingControl w:val="doNotCompress"/>
  <w:compat>
    <w:useFELayout/>
    <w:compatSetting w:name="compatibilityMode" w:uri="http://schemas.microsoft.com/office/word" w:val="12"/>
  </w:compat>
  <w:rsids>
    <w:rsidRoot w:val="004C254F"/>
    <w:rsid w:val="001631E0"/>
    <w:rsid w:val="001B43F3"/>
    <w:rsid w:val="00255B13"/>
    <w:rsid w:val="00263E99"/>
    <w:rsid w:val="0028406E"/>
    <w:rsid w:val="00441D26"/>
    <w:rsid w:val="00453400"/>
    <w:rsid w:val="00486BD6"/>
    <w:rsid w:val="004C254F"/>
    <w:rsid w:val="0059719C"/>
    <w:rsid w:val="005F36B9"/>
    <w:rsid w:val="00613DCB"/>
    <w:rsid w:val="00787183"/>
    <w:rsid w:val="00811F14"/>
    <w:rsid w:val="00895366"/>
    <w:rsid w:val="008E30BC"/>
    <w:rsid w:val="00971C71"/>
    <w:rsid w:val="009B140E"/>
    <w:rsid w:val="009E3758"/>
    <w:rsid w:val="00B10C80"/>
    <w:rsid w:val="00B12DC8"/>
    <w:rsid w:val="00B20091"/>
    <w:rsid w:val="00B729DC"/>
    <w:rsid w:val="00BC5AF1"/>
    <w:rsid w:val="00BD3F43"/>
    <w:rsid w:val="00C53D29"/>
    <w:rsid w:val="00DB2688"/>
    <w:rsid w:val="00DC780B"/>
    <w:rsid w:val="00EC06CD"/>
    <w:rsid w:val="00EE5B53"/>
    <w:rsid w:val="00F26771"/>
    <w:rsid w:val="00F954F1"/>
    <w:rsid w:val="00FC0714"/>
    <w:rsid w:val="100A05D7"/>
    <w:rsid w:val="24CA5989"/>
    <w:rsid w:val="31024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color w:val="000000"/>
      <w:sz w:val="22"/>
      <w:szCs w:val="22"/>
      <w:lang w:val="en-US" w:eastAsia="en-US" w:bidi="ar-SA"/>
    </w:rPr>
  </w:style>
  <w:style w:type="paragraph" w:styleId="2">
    <w:name w:val="heading 1"/>
    <w:next w:val="1"/>
    <w:link w:val="11"/>
    <w:unhideWhenUsed/>
    <w:qFormat/>
    <w:uiPriority w:val="9"/>
    <w:pPr>
      <w:keepNext/>
      <w:keepLines/>
      <w:spacing w:after="263" w:line="259" w:lineRule="auto"/>
      <w:ind w:left="30" w:hanging="10"/>
      <w:jc w:val="center"/>
      <w:outlineLvl w:val="0"/>
    </w:pPr>
    <w:rPr>
      <w:rFonts w:ascii="微软雅黑" w:hAnsi="微软雅黑" w:eastAsia="微软雅黑" w:cs="微软雅黑"/>
      <w:color w:val="000000"/>
      <w:sz w:val="44"/>
      <w:szCs w:val="22"/>
      <w:lang w:val="en-US" w:eastAsia="en-US" w:bidi="ar-SA"/>
    </w:rPr>
  </w:style>
  <w:style w:type="paragraph" w:styleId="3">
    <w:name w:val="heading 2"/>
    <w:next w:val="1"/>
    <w:link w:val="10"/>
    <w:unhideWhenUsed/>
    <w:qFormat/>
    <w:uiPriority w:val="9"/>
    <w:pPr>
      <w:keepNext/>
      <w:keepLines/>
      <w:spacing w:after="404" w:line="259" w:lineRule="auto"/>
      <w:ind w:left="671" w:hanging="10"/>
      <w:outlineLvl w:val="1"/>
    </w:pPr>
    <w:rPr>
      <w:rFonts w:ascii="微软雅黑" w:hAnsi="微软雅黑" w:eastAsia="微软雅黑" w:cs="微软雅黑"/>
      <w:color w:val="000000"/>
      <w:sz w:val="32"/>
      <w:szCs w:val="22"/>
      <w:lang w:val="en-US" w:eastAsia="en-US" w:bidi="ar-SA"/>
    </w:rPr>
  </w:style>
  <w:style w:type="paragraph" w:styleId="4">
    <w:name w:val="heading 3"/>
    <w:next w:val="1"/>
    <w:link w:val="9"/>
    <w:unhideWhenUsed/>
    <w:qFormat/>
    <w:uiPriority w:val="9"/>
    <w:pPr>
      <w:keepNext/>
      <w:keepLines/>
      <w:spacing w:after="234" w:line="259" w:lineRule="auto"/>
      <w:ind w:left="11" w:hanging="10"/>
      <w:jc w:val="center"/>
      <w:outlineLvl w:val="2"/>
    </w:pPr>
    <w:rPr>
      <w:rFonts w:ascii="宋体" w:hAnsi="宋体" w:eastAsia="宋体" w:cs="宋体"/>
      <w:color w:val="000000"/>
      <w:sz w:val="26"/>
      <w:szCs w:val="22"/>
      <w:lang w:val="en-US" w:eastAsia="en-US" w:bidi="ar-SA"/>
    </w:rPr>
  </w:style>
  <w:style w:type="character" w:default="1" w:styleId="7">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5">
    <w:name w:val="footer"/>
    <w:basedOn w:val="1"/>
    <w:link w:val="14"/>
    <w:unhideWhenUsed/>
    <w:uiPriority w:val="99"/>
    <w:pPr>
      <w:tabs>
        <w:tab w:val="center" w:pos="4153"/>
        <w:tab w:val="right" w:pos="8306"/>
      </w:tabs>
      <w:snapToGrid w:val="0"/>
      <w:spacing w:line="240" w:lineRule="auto"/>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character" w:customStyle="1" w:styleId="9">
    <w:name w:val="标题 3 Char"/>
    <w:link w:val="4"/>
    <w:qFormat/>
    <w:uiPriority w:val="0"/>
    <w:rPr>
      <w:rFonts w:ascii="宋体" w:hAnsi="宋体" w:eastAsia="宋体" w:cs="宋体"/>
      <w:color w:val="000000"/>
      <w:sz w:val="26"/>
    </w:rPr>
  </w:style>
  <w:style w:type="character" w:customStyle="1" w:styleId="10">
    <w:name w:val="标题 2 Char"/>
    <w:link w:val="3"/>
    <w:uiPriority w:val="0"/>
    <w:rPr>
      <w:rFonts w:ascii="微软雅黑" w:hAnsi="微软雅黑" w:eastAsia="微软雅黑" w:cs="微软雅黑"/>
      <w:color w:val="000000"/>
      <w:sz w:val="32"/>
    </w:rPr>
  </w:style>
  <w:style w:type="character" w:customStyle="1" w:styleId="11">
    <w:name w:val="标题 1 Char"/>
    <w:link w:val="2"/>
    <w:qFormat/>
    <w:uiPriority w:val="0"/>
    <w:rPr>
      <w:rFonts w:ascii="微软雅黑" w:hAnsi="微软雅黑" w:eastAsia="微软雅黑" w:cs="微软雅黑"/>
      <w:color w:val="000000"/>
      <w:sz w:val="44"/>
    </w:rPr>
  </w:style>
  <w:style w:type="table" w:customStyle="1" w:styleId="12">
    <w:name w:val="TableGrid"/>
    <w:qFormat/>
    <w:uiPriority w:val="0"/>
    <w:tblPr>
      <w:tblLayout w:type="fixed"/>
      <w:tblCellMar>
        <w:top w:w="0" w:type="dxa"/>
        <w:left w:w="0" w:type="dxa"/>
        <w:bottom w:w="0" w:type="dxa"/>
        <w:right w:w="0" w:type="dxa"/>
      </w:tblCellMar>
    </w:tblPr>
  </w:style>
  <w:style w:type="character" w:customStyle="1" w:styleId="13">
    <w:name w:val="页眉 Char"/>
    <w:basedOn w:val="7"/>
    <w:link w:val="6"/>
    <w:qFormat/>
    <w:uiPriority w:val="99"/>
    <w:rPr>
      <w:rFonts w:ascii="Calibri" w:hAnsi="Calibri" w:eastAsia="Calibri" w:cs="Calibri"/>
      <w:color w:val="000000"/>
      <w:sz w:val="18"/>
      <w:szCs w:val="18"/>
      <w:lang w:eastAsia="en-US"/>
    </w:rPr>
  </w:style>
  <w:style w:type="character" w:customStyle="1" w:styleId="14">
    <w:name w:val="页脚 Char"/>
    <w:basedOn w:val="7"/>
    <w:link w:val="5"/>
    <w:uiPriority w:val="99"/>
    <w:rPr>
      <w:rFonts w:ascii="Calibri" w:hAnsi="Calibri" w:eastAsia="Calibri" w:cs="Calibri"/>
      <w:color w:val="000000"/>
      <w:sz w:val="18"/>
      <w:szCs w:val="18"/>
      <w:lang w:eastAsia="en-US"/>
    </w:rPr>
  </w:style>
  <w:style w:type="paragraph" w:styleId="1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Pages>
  <Words>1655</Words>
  <Characters>9435</Characters>
  <Lines>78</Lines>
  <Paragraphs>22</Paragraphs>
  <TotalTime>42</TotalTime>
  <ScaleCrop>false</ScaleCrop>
  <LinksUpToDate>false</LinksUpToDate>
  <CharactersWithSpaces>11068</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2024-03-20T06:46:00Z</dcterms:created>
  <dc:creator>word</dc:creator>
  <cp:lastModifiedBy>Administrator</cp:lastModifiedBy>
  <dcterms:modified xsi:type="dcterms:W3CDTF">2024-03-22T03:54:42Z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